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27" w:rsidRPr="00C36D27" w:rsidRDefault="00C36D27" w:rsidP="00C36D27">
      <w:pPr>
        <w:spacing w:after="75" w:line="780" w:lineRule="atLeast"/>
        <w:textAlignment w:val="baseline"/>
        <w:outlineLvl w:val="0"/>
        <w:rPr>
          <w:rFonts w:ascii="Arial" w:hAnsi="Arial" w:cs="Arial"/>
          <w:color w:val="35383D"/>
          <w:spacing w:val="-7"/>
          <w:kern w:val="36"/>
          <w:sz w:val="68"/>
          <w:szCs w:val="68"/>
        </w:rPr>
      </w:pPr>
      <w:bookmarkStart w:id="0" w:name="_GoBack"/>
      <w:bookmarkEnd w:id="0"/>
      <w:r w:rsidRPr="00C36D27">
        <w:rPr>
          <w:rFonts w:ascii="Arial" w:hAnsi="Arial" w:cs="Arial"/>
          <w:color w:val="35383D"/>
          <w:spacing w:val="-7"/>
          <w:kern w:val="36"/>
          <w:sz w:val="68"/>
          <w:szCs w:val="68"/>
        </w:rPr>
        <w:t>Warren Buffett’s investing tip for LeBron James: Stick with an index fund</w:t>
      </w:r>
    </w:p>
    <w:p w:rsidR="00C36D27" w:rsidRPr="00C36D27" w:rsidRDefault="00F55999" w:rsidP="00C36D27">
      <w:pPr>
        <w:spacing w:line="375" w:lineRule="atLeast"/>
        <w:textAlignment w:val="baseline"/>
        <w:rPr>
          <w:rFonts w:ascii="Arial" w:hAnsi="Arial" w:cs="Arial"/>
          <w:color w:val="FFFFFF"/>
        </w:rPr>
      </w:pPr>
      <w:r w:rsidRPr="00C36D27">
        <w:rPr>
          <w:rFonts w:ascii="Arial" w:hAnsi="Arial" w:cs="Arial"/>
          <w:color w:val="333333"/>
        </w:rPr>
        <w:t>(</w:t>
      </w:r>
      <w:proofErr w:type="spellStart"/>
      <w:r w:rsidRPr="00C36D27">
        <w:rPr>
          <w:rFonts w:ascii="Arial" w:hAnsi="Arial" w:cs="Arial"/>
          <w:color w:val="333333"/>
        </w:rPr>
        <w:t>MarketWatch</w:t>
      </w:r>
      <w:proofErr w:type="spellEnd"/>
      <w:r w:rsidRPr="00C36D27">
        <w:rPr>
          <w:rFonts w:ascii="Arial" w:hAnsi="Arial" w:cs="Arial"/>
          <w:color w:val="333333"/>
        </w:rPr>
        <w:t xml:space="preserve">) </w:t>
      </w:r>
      <w:r w:rsidR="00C36D27" w:rsidRPr="00C36D27">
        <w:rPr>
          <w:rFonts w:ascii="Arial" w:hAnsi="Arial" w:cs="Arial"/>
          <w:color w:val="555555"/>
          <w:sz w:val="27"/>
          <w:szCs w:val="27"/>
        </w:rPr>
        <w:t>Published: </w:t>
      </w:r>
      <w:r w:rsidR="00C36D27" w:rsidRPr="00C36D27">
        <w:rPr>
          <w:rFonts w:ascii="Arial" w:hAnsi="Arial" w:cs="Arial"/>
          <w:color w:val="555555"/>
          <w:sz w:val="27"/>
          <w:szCs w:val="27"/>
          <w:bdr w:val="none" w:sz="0" w:space="0" w:color="auto" w:frame="1"/>
        </w:rPr>
        <w:t>Mar 2, 2015 10:12 a.m. ET</w:t>
      </w:r>
      <w:r w:rsidR="00C36D27" w:rsidRPr="00C36D27">
        <w:rPr>
          <w:rFonts w:ascii="Arial" w:hAnsi="Arial" w:cs="Arial"/>
          <w:color w:val="FFFFFF"/>
        </w:rPr>
        <w:t> </w:t>
      </w:r>
      <w:r w:rsidR="00C36D27" w:rsidRPr="00C36D27">
        <w:rPr>
          <w:rFonts w:ascii="Arial" w:hAnsi="Arial" w:cs="Arial"/>
          <w:color w:val="FFFFFF"/>
          <w:sz w:val="30"/>
          <w:szCs w:val="30"/>
          <w:bdr w:val="none" w:sz="0" w:space="0" w:color="auto" w:frame="1"/>
        </w:rPr>
        <w:t>2</w:t>
      </w:r>
      <w:r w:rsidR="00C36D27" w:rsidRPr="00C36D27">
        <w:rPr>
          <w:rFonts w:ascii="Arial" w:hAnsi="Arial" w:cs="Arial"/>
          <w:color w:val="FFFFFF"/>
        </w:rPr>
        <w:t> </w:t>
      </w:r>
      <w:r w:rsidR="00C36D27" w:rsidRPr="00C36D27">
        <w:rPr>
          <w:rFonts w:ascii="Arial" w:hAnsi="Arial" w:cs="Arial"/>
          <w:color w:val="FFFFFF"/>
          <w:sz w:val="30"/>
          <w:szCs w:val="30"/>
          <w:bdr w:val="none" w:sz="0" w:space="0" w:color="auto" w:frame="1"/>
        </w:rPr>
        <w:t>3</w:t>
      </w:r>
    </w:p>
    <w:p w:rsidR="00C36D27" w:rsidRPr="00C36D27" w:rsidRDefault="00C36D27" w:rsidP="00C36D27">
      <w:pPr>
        <w:spacing w:line="360" w:lineRule="atLeast"/>
        <w:textAlignment w:val="baseline"/>
        <w:rPr>
          <w:rFonts w:ascii="Arial" w:hAnsi="Arial" w:cs="Arial"/>
          <w:color w:val="FFFFFF"/>
        </w:rPr>
      </w:pPr>
      <w:r w:rsidRPr="00C36D27">
        <w:rPr>
          <w:rFonts w:ascii="Arial" w:hAnsi="Arial" w:cs="Arial"/>
          <w:color w:val="FFFFFF"/>
        </w:rPr>
        <w:t> </w:t>
      </w:r>
    </w:p>
    <w:p w:rsidR="00C36D27" w:rsidRPr="00C36D27" w:rsidRDefault="00C36D27" w:rsidP="00C36D27">
      <w:pPr>
        <w:spacing w:line="360" w:lineRule="atLeast"/>
        <w:textAlignment w:val="baseline"/>
        <w:rPr>
          <w:rFonts w:ascii="Arial" w:hAnsi="Arial" w:cs="Arial"/>
          <w:color w:val="FFFFFF"/>
        </w:rPr>
      </w:pPr>
      <w:r w:rsidRPr="00C36D27">
        <w:rPr>
          <w:rFonts w:ascii="Arial" w:hAnsi="Arial" w:cs="Arial"/>
          <w:color w:val="FFFFFF"/>
        </w:rPr>
        <w:t> </w:t>
      </w:r>
      <w:r w:rsidRPr="00C36D27">
        <w:rPr>
          <w:rFonts w:ascii="Arial" w:hAnsi="Arial" w:cs="Arial"/>
          <w:color w:val="FFFFFF"/>
          <w:sz w:val="30"/>
          <w:szCs w:val="30"/>
          <w:bdr w:val="none" w:sz="0" w:space="0" w:color="auto" w:frame="1"/>
        </w:rPr>
        <w:t>4</w:t>
      </w:r>
    </w:p>
    <w:p w:rsidR="00C36D27" w:rsidRPr="00C36D27" w:rsidRDefault="00C36D27" w:rsidP="00C36D27">
      <w:pPr>
        <w:spacing w:line="360" w:lineRule="atLeast"/>
        <w:textAlignment w:val="baseline"/>
        <w:rPr>
          <w:rFonts w:ascii="Arial" w:hAnsi="Arial" w:cs="Arial"/>
          <w:color w:val="333333"/>
        </w:rPr>
      </w:pPr>
      <w:r w:rsidRPr="00C36D27">
        <w:rPr>
          <w:rFonts w:ascii="Arial" w:hAnsi="Arial" w:cs="Arial"/>
          <w:color w:val="333333"/>
        </w:rPr>
        <w:t> </w:t>
      </w:r>
    </w:p>
    <w:p w:rsidR="00C36D27" w:rsidRPr="00C36D27" w:rsidRDefault="00C36D27" w:rsidP="00C36D27">
      <w:pPr>
        <w:spacing w:line="360" w:lineRule="atLeast"/>
        <w:textAlignment w:val="baseline"/>
        <w:rPr>
          <w:rFonts w:ascii="Arial" w:hAnsi="Arial" w:cs="Arial"/>
          <w:color w:val="333333"/>
        </w:rPr>
      </w:pPr>
      <w:r w:rsidRPr="00C36D27">
        <w:rPr>
          <w:rFonts w:ascii="Arial" w:hAnsi="Arial" w:cs="Arial"/>
          <w:noProof/>
          <w:color w:val="333333"/>
        </w:rPr>
        <w:drawing>
          <wp:inline distT="0" distB="0" distL="0" distR="0" wp14:anchorId="3F30BA2E" wp14:editId="4B6343D0">
            <wp:extent cx="8382000" cy="4714875"/>
            <wp:effectExtent l="0" t="0" r="0" b="9525"/>
            <wp:docPr id="1" name="Picture 3" descr="http://ei.marketwatch.com/Multimedia/2015/03/02/Photos/ZH/MW-DG712_james__20150302091315_ZH.jpg?uuid=506b17cc-c0e6-11e4-aa69-9f42998c0a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i.marketwatch.com/Multimedia/2015/03/02/Photos/ZH/MW-DG712_james__20150302091315_ZH.jpg?uuid=506b17cc-c0e6-11e4-aa69-9f42998c0a6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0" cy="4714875"/>
                    </a:xfrm>
                    <a:prstGeom prst="rect">
                      <a:avLst/>
                    </a:prstGeom>
                    <a:noFill/>
                    <a:ln>
                      <a:noFill/>
                    </a:ln>
                  </pic:spPr>
                </pic:pic>
              </a:graphicData>
            </a:graphic>
          </wp:inline>
        </w:drawing>
      </w:r>
      <w:r w:rsidRPr="00C36D27">
        <w:rPr>
          <w:rFonts w:ascii="Arial" w:hAnsi="Arial" w:cs="Arial"/>
          <w:i/>
          <w:iCs/>
          <w:color w:val="FFFFFF"/>
          <w:sz w:val="18"/>
          <w:szCs w:val="18"/>
          <w:bdr w:val="none" w:sz="0" w:space="0" w:color="auto" w:frame="1"/>
        </w:rPr>
        <w:t>Getty Images</w:t>
      </w:r>
    </w:p>
    <w:p w:rsidR="00C36D27" w:rsidRPr="00C36D27" w:rsidRDefault="00C36D27" w:rsidP="00C36D27">
      <w:pPr>
        <w:spacing w:line="360" w:lineRule="atLeast"/>
        <w:jc w:val="center"/>
        <w:textAlignment w:val="baseline"/>
        <w:rPr>
          <w:rFonts w:ascii="Arial" w:hAnsi="Arial" w:cs="Arial"/>
          <w:color w:val="333333"/>
        </w:rPr>
      </w:pPr>
      <w:r w:rsidRPr="00C36D27">
        <w:rPr>
          <w:rFonts w:ascii="Arial" w:hAnsi="Arial" w:cs="Arial"/>
          <w:color w:val="333333"/>
        </w:rPr>
        <w:t>By</w:t>
      </w:r>
    </w:p>
    <w:p w:rsidR="00C36D27" w:rsidRPr="00C36D27" w:rsidRDefault="00C36D27" w:rsidP="00C36D27">
      <w:pPr>
        <w:spacing w:line="360" w:lineRule="atLeast"/>
        <w:jc w:val="center"/>
        <w:textAlignment w:val="baseline"/>
        <w:rPr>
          <w:color w:val="648C94"/>
        </w:rPr>
      </w:pPr>
      <w:r w:rsidRPr="00C36D27">
        <w:rPr>
          <w:rFonts w:ascii="Arial" w:hAnsi="Arial" w:cs="Arial"/>
          <w:color w:val="333333"/>
        </w:rPr>
        <w:fldChar w:fldCharType="begin"/>
      </w:r>
      <w:r w:rsidRPr="00C36D27">
        <w:rPr>
          <w:rFonts w:ascii="Arial" w:hAnsi="Arial" w:cs="Arial"/>
          <w:color w:val="333333"/>
        </w:rPr>
        <w:instrText xml:space="preserve"> HYPERLINK "http://www.marketwatch.com/Journalists/Victor_Reklaitis" \o "Victor Reklaitis" </w:instrText>
      </w:r>
      <w:r w:rsidRPr="00C36D27">
        <w:rPr>
          <w:rFonts w:ascii="Arial" w:hAnsi="Arial" w:cs="Arial"/>
          <w:color w:val="333333"/>
        </w:rPr>
        <w:fldChar w:fldCharType="separate"/>
      </w:r>
    </w:p>
    <w:p w:rsidR="00C36D27" w:rsidRPr="00C36D27" w:rsidRDefault="00C36D27" w:rsidP="00C36D27">
      <w:pPr>
        <w:spacing w:line="300" w:lineRule="atLeast"/>
        <w:jc w:val="center"/>
        <w:textAlignment w:val="baseline"/>
        <w:outlineLvl w:val="2"/>
        <w:rPr>
          <w:b/>
          <w:bCs/>
          <w:caps/>
          <w:sz w:val="27"/>
          <w:szCs w:val="27"/>
        </w:rPr>
      </w:pPr>
      <w:proofErr w:type="gramStart"/>
      <w:r w:rsidRPr="00C36D27">
        <w:rPr>
          <w:rFonts w:ascii="Arial" w:hAnsi="Arial" w:cs="Arial"/>
          <w:b/>
          <w:bCs/>
          <w:caps/>
          <w:color w:val="648C94"/>
          <w:sz w:val="27"/>
          <w:szCs w:val="27"/>
        </w:rPr>
        <w:t>VICTOR</w:t>
      </w:r>
      <w:r>
        <w:rPr>
          <w:rFonts w:ascii="Arial" w:hAnsi="Arial" w:cs="Arial"/>
          <w:b/>
          <w:bCs/>
          <w:caps/>
          <w:color w:val="648C94"/>
          <w:sz w:val="27"/>
          <w:szCs w:val="27"/>
        </w:rPr>
        <w:t xml:space="preserve">  </w:t>
      </w:r>
      <w:r w:rsidRPr="00C36D27">
        <w:rPr>
          <w:rFonts w:ascii="Arial" w:hAnsi="Arial" w:cs="Arial"/>
          <w:b/>
          <w:bCs/>
          <w:caps/>
          <w:color w:val="47595F"/>
          <w:sz w:val="30"/>
          <w:szCs w:val="30"/>
          <w:bdr w:val="none" w:sz="0" w:space="0" w:color="auto" w:frame="1"/>
        </w:rPr>
        <w:t>REKLAITI</w:t>
      </w:r>
      <w:proofErr w:type="gramEnd"/>
      <w:r w:rsidRPr="00C36D27">
        <w:rPr>
          <w:rFonts w:ascii="Arial" w:hAnsi="Arial" w:cs="Arial"/>
          <w:b/>
          <w:bCs/>
          <w:caps/>
          <w:color w:val="47595F"/>
          <w:sz w:val="30"/>
          <w:szCs w:val="30"/>
          <w:bdr w:val="none" w:sz="0" w:space="0" w:color="auto" w:frame="1"/>
        </w:rPr>
        <w:t>S</w:t>
      </w:r>
    </w:p>
    <w:p w:rsidR="00C36D27" w:rsidRPr="00C36D27" w:rsidRDefault="00C36D27" w:rsidP="00F55999">
      <w:pPr>
        <w:spacing w:line="360" w:lineRule="atLeast"/>
        <w:textAlignment w:val="baseline"/>
        <w:rPr>
          <w:rFonts w:ascii="Arial" w:hAnsi="Arial" w:cs="Arial"/>
          <w:color w:val="333333"/>
        </w:rPr>
      </w:pPr>
      <w:r w:rsidRPr="00C36D27">
        <w:rPr>
          <w:rFonts w:ascii="Arial" w:hAnsi="Arial" w:cs="Arial"/>
          <w:color w:val="333333"/>
        </w:rPr>
        <w:lastRenderedPageBreak/>
        <w:fldChar w:fldCharType="end"/>
      </w:r>
      <w:r w:rsidRPr="00C36D27">
        <w:rPr>
          <w:rFonts w:ascii="Arial" w:hAnsi="Arial" w:cs="Arial"/>
          <w:color w:val="333333"/>
        </w:rPr>
        <w:t>NEW YORK— Warren Buffett isn’t recommending stock picking, real estate or anything complicated to LeBron James.</w:t>
      </w:r>
    </w:p>
    <w:p w:rsidR="00C36D27" w:rsidRPr="00C36D27" w:rsidRDefault="00C36D27" w:rsidP="00C36D27">
      <w:pPr>
        <w:spacing w:after="225"/>
        <w:textAlignment w:val="baseline"/>
        <w:rPr>
          <w:rFonts w:ascii="Arial" w:hAnsi="Arial" w:cs="Arial"/>
          <w:color w:val="333333"/>
        </w:rPr>
      </w:pPr>
      <w:r w:rsidRPr="00C36D27">
        <w:rPr>
          <w:rFonts w:ascii="Arial" w:hAnsi="Arial" w:cs="Arial"/>
          <w:color w:val="333333"/>
        </w:rPr>
        <w:t>The billionaire investor essentially advised the multi-millionaire basketball star to keep it simple when James asked him for investing advice on Monday.</w:t>
      </w:r>
    </w:p>
    <w:p w:rsidR="00C36D27" w:rsidRDefault="00C36D27" w:rsidP="00C36D27">
      <w:pPr>
        <w:textAlignment w:val="baseline"/>
        <w:rPr>
          <w:rFonts w:ascii="Arial" w:hAnsi="Arial" w:cs="Arial"/>
          <w:color w:val="333333"/>
        </w:rPr>
      </w:pPr>
      <w:r w:rsidRPr="00C36D27">
        <w:rPr>
          <w:rFonts w:ascii="Arial" w:hAnsi="Arial" w:cs="Arial"/>
          <w:color w:val="333333"/>
        </w:rPr>
        <w:t>“Everybody’s got an idea for him, and usually the simplest is the best,” Buffett said</w:t>
      </w:r>
      <w:r w:rsidR="000D555D">
        <w:rPr>
          <w:rFonts w:ascii="Arial" w:hAnsi="Arial" w:cs="Arial"/>
          <w:color w:val="333333"/>
        </w:rPr>
        <w:t xml:space="preserve"> </w:t>
      </w:r>
      <w:hyperlink r:id="rId6" w:tgtFrame="_new" w:history="1">
        <w:r w:rsidRPr="00C36D27">
          <w:rPr>
            <w:rFonts w:ascii="Arial" w:hAnsi="Arial" w:cs="Arial"/>
            <w:color w:val="648C94"/>
            <w:u w:val="single"/>
          </w:rPr>
          <w:t>on CNBC</w:t>
        </w:r>
      </w:hyperlink>
      <w:r w:rsidRPr="00C36D27">
        <w:rPr>
          <w:rFonts w:ascii="Arial" w:hAnsi="Arial" w:cs="Arial"/>
          <w:color w:val="333333"/>
        </w:rPr>
        <w:t> during a segment that featured James asking a couple of questions.</w:t>
      </w:r>
    </w:p>
    <w:p w:rsidR="000D555D" w:rsidRPr="00C36D27" w:rsidRDefault="000D555D" w:rsidP="00C36D27">
      <w:pPr>
        <w:textAlignment w:val="baseline"/>
        <w:rPr>
          <w:rFonts w:ascii="Arial" w:hAnsi="Arial" w:cs="Arial"/>
          <w:color w:val="333333"/>
        </w:rPr>
      </w:pPr>
    </w:p>
    <w:p w:rsidR="00C36D27" w:rsidRPr="00C36D27" w:rsidRDefault="00C36D27" w:rsidP="00C36D27">
      <w:pPr>
        <w:spacing w:after="225"/>
        <w:textAlignment w:val="baseline"/>
        <w:rPr>
          <w:rFonts w:ascii="Arial" w:hAnsi="Arial" w:cs="Arial"/>
          <w:color w:val="333333"/>
        </w:rPr>
      </w:pPr>
      <w:r w:rsidRPr="00C36D27">
        <w:rPr>
          <w:rFonts w:ascii="Arial" w:hAnsi="Arial" w:cs="Arial"/>
          <w:color w:val="333333"/>
        </w:rPr>
        <w:t xml:space="preserve">The Oracle of Omaha said athletes are often approached with investing ideas tied to restaurants or real estate, </w:t>
      </w:r>
      <w:r w:rsidRPr="00C36D27">
        <w:rPr>
          <w:rFonts w:ascii="Arial" w:hAnsi="Arial" w:cs="Arial"/>
          <w:color w:val="333333"/>
          <w:highlight w:val="yellow"/>
        </w:rPr>
        <w:t>but James should buy a low-cost index fund, while also keeping a significant cash reserve — “whatever makes him comfortable.”</w:t>
      </w:r>
    </w:p>
    <w:p w:rsidR="00C36D27" w:rsidRPr="00C36D27" w:rsidRDefault="00C36D27" w:rsidP="00C36D27">
      <w:pPr>
        <w:spacing w:after="225"/>
        <w:textAlignment w:val="baseline"/>
        <w:rPr>
          <w:rFonts w:ascii="Arial" w:hAnsi="Arial" w:cs="Arial"/>
          <w:color w:val="333333"/>
        </w:rPr>
      </w:pPr>
      <w:r w:rsidRPr="00C36D27">
        <w:rPr>
          <w:rFonts w:ascii="Arial" w:hAnsi="Arial" w:cs="Arial"/>
          <w:color w:val="333333"/>
        </w:rPr>
        <w:t>“Just making monthly investments in a low-cost index fund makes a lot of sense,” Buffett said.</w:t>
      </w:r>
    </w:p>
    <w:p w:rsidR="00C36D27" w:rsidRPr="00C36D27" w:rsidRDefault="00C36D27" w:rsidP="00C36D27">
      <w:pPr>
        <w:spacing w:after="225"/>
        <w:textAlignment w:val="baseline"/>
        <w:rPr>
          <w:rFonts w:ascii="Arial" w:hAnsi="Arial" w:cs="Arial"/>
          <w:color w:val="333333"/>
        </w:rPr>
      </w:pPr>
      <w:r w:rsidRPr="00C36D27">
        <w:rPr>
          <w:rFonts w:ascii="Arial" w:hAnsi="Arial" w:cs="Arial"/>
          <w:color w:val="333333"/>
        </w:rPr>
        <w:t>He added: “</w:t>
      </w:r>
      <w:r w:rsidRPr="00C36D27">
        <w:rPr>
          <w:rFonts w:ascii="Arial" w:hAnsi="Arial" w:cs="Arial"/>
          <w:color w:val="333333"/>
          <w:highlight w:val="yellow"/>
        </w:rPr>
        <w:t>Owning a piece of America, a diversified piece, bought over time, held for 30 or 40 years, it’s bound to do well. The income will go up over the years, and there’s really nothing to worry about.”</w:t>
      </w:r>
    </w:p>
    <w:p w:rsidR="00C36D27" w:rsidRDefault="00C36D27" w:rsidP="00C36D27">
      <w:pPr>
        <w:textAlignment w:val="baseline"/>
        <w:rPr>
          <w:rFonts w:ascii="Arial" w:hAnsi="Arial" w:cs="Arial"/>
          <w:color w:val="333333"/>
        </w:rPr>
      </w:pPr>
      <w:r w:rsidRPr="00C36D27">
        <w:rPr>
          <w:rFonts w:ascii="Arial" w:hAnsi="Arial" w:cs="Arial"/>
          <w:color w:val="333333"/>
        </w:rPr>
        <w:t>The Berkshire Hathaway </w:t>
      </w:r>
      <w:hyperlink r:id="rId7" w:history="1">
        <w:r w:rsidRPr="00C36D27">
          <w:rPr>
            <w:rFonts w:ascii="Arial" w:hAnsi="Arial" w:cs="Arial"/>
            <w:b/>
            <w:bCs/>
            <w:color w:val="BC4550"/>
            <w:u w:val="single"/>
            <w:bdr w:val="none" w:sz="0" w:space="0" w:color="auto" w:frame="1"/>
          </w:rPr>
          <w:t>BRK.A,</w:t>
        </w:r>
        <w:r w:rsidRPr="00C36D27">
          <w:rPr>
            <w:rFonts w:ascii="Arial" w:hAnsi="Arial" w:cs="Arial"/>
            <w:b/>
            <w:bCs/>
            <w:color w:val="BC4550"/>
            <w:bdr w:val="none" w:sz="0" w:space="0" w:color="auto" w:frame="1"/>
          </w:rPr>
          <w:t> -0.15%</w:t>
        </w:r>
      </w:hyperlink>
      <w:r w:rsidRPr="00C36D27">
        <w:rPr>
          <w:rFonts w:ascii="Arial" w:hAnsi="Arial" w:cs="Arial"/>
          <w:color w:val="333333"/>
        </w:rPr>
        <w:t> </w:t>
      </w:r>
      <w:hyperlink r:id="rId8" w:history="1">
        <w:r w:rsidRPr="00C36D27">
          <w:rPr>
            <w:rFonts w:ascii="Arial" w:hAnsi="Arial" w:cs="Arial"/>
            <w:b/>
            <w:bCs/>
            <w:color w:val="BC4550"/>
            <w:u w:val="single"/>
            <w:bdr w:val="none" w:sz="0" w:space="0" w:color="auto" w:frame="1"/>
          </w:rPr>
          <w:t>BRK.B,</w:t>
        </w:r>
        <w:r w:rsidRPr="00C36D27">
          <w:rPr>
            <w:rFonts w:ascii="Arial" w:hAnsi="Arial" w:cs="Arial"/>
            <w:b/>
            <w:bCs/>
            <w:color w:val="BC4550"/>
            <w:bdr w:val="none" w:sz="0" w:space="0" w:color="auto" w:frame="1"/>
          </w:rPr>
          <w:t> -0.15%</w:t>
        </w:r>
      </w:hyperlink>
      <w:r w:rsidRPr="00C36D27">
        <w:rPr>
          <w:rFonts w:ascii="Arial" w:hAnsi="Arial" w:cs="Arial"/>
          <w:color w:val="333333"/>
        </w:rPr>
        <w:t>  CEO has given this advice before. He </w:t>
      </w:r>
      <w:hyperlink r:id="rId9" w:tgtFrame="_new" w:history="1">
        <w:r w:rsidRPr="00C36D27">
          <w:rPr>
            <w:rFonts w:ascii="Arial" w:hAnsi="Arial" w:cs="Arial"/>
            <w:color w:val="648C94"/>
            <w:u w:val="single"/>
          </w:rPr>
          <w:t>once told</w:t>
        </w:r>
      </w:hyperlink>
      <w:r w:rsidRPr="00C36D27">
        <w:rPr>
          <w:rFonts w:ascii="Arial" w:hAnsi="Arial" w:cs="Arial"/>
          <w:color w:val="333333"/>
        </w:rPr>
        <w:t xml:space="preserve"> index-investing pioneer Jack </w:t>
      </w:r>
      <w:proofErr w:type="spellStart"/>
      <w:r w:rsidRPr="00C36D27">
        <w:rPr>
          <w:rFonts w:ascii="Arial" w:hAnsi="Arial" w:cs="Arial"/>
          <w:color w:val="333333"/>
        </w:rPr>
        <w:t>Bogle</w:t>
      </w:r>
      <w:proofErr w:type="spellEnd"/>
      <w:r w:rsidRPr="00C36D27">
        <w:rPr>
          <w:rFonts w:ascii="Arial" w:hAnsi="Arial" w:cs="Arial"/>
          <w:color w:val="333333"/>
        </w:rPr>
        <w:t>: “A low-cost index fund is the most sensible equity investment for the great majority of investors.”</w:t>
      </w:r>
    </w:p>
    <w:p w:rsidR="000D555D" w:rsidRPr="00C36D27" w:rsidRDefault="000D555D" w:rsidP="00C36D27">
      <w:pPr>
        <w:textAlignment w:val="baseline"/>
        <w:rPr>
          <w:rFonts w:ascii="Arial" w:hAnsi="Arial" w:cs="Arial"/>
          <w:color w:val="333333"/>
        </w:rPr>
      </w:pPr>
    </w:p>
    <w:p w:rsidR="00C36D27" w:rsidRPr="00C36D27" w:rsidRDefault="00C36D27" w:rsidP="00C36D27">
      <w:pPr>
        <w:textAlignment w:val="baseline"/>
        <w:rPr>
          <w:rFonts w:ascii="Arial" w:hAnsi="Arial" w:cs="Arial"/>
          <w:color w:val="333333"/>
        </w:rPr>
      </w:pPr>
      <w:r w:rsidRPr="00C36D27">
        <w:rPr>
          <w:rFonts w:ascii="Arial" w:hAnsi="Arial" w:cs="Arial"/>
          <w:color w:val="333333"/>
          <w:highlight w:val="yellow"/>
        </w:rPr>
        <w:t>And last year, Buffett’s annual letter to shareholders mentioned that he’s</w:t>
      </w:r>
      <w:r w:rsidRPr="000D555D">
        <w:rPr>
          <w:rFonts w:ascii="Arial" w:hAnsi="Arial" w:cs="Arial"/>
          <w:color w:val="333333"/>
          <w:highlight w:val="yellow"/>
        </w:rPr>
        <w:t> </w:t>
      </w:r>
      <w:hyperlink r:id="rId10" w:history="1">
        <w:r w:rsidRPr="000D555D">
          <w:rPr>
            <w:rFonts w:ascii="Arial" w:hAnsi="Arial" w:cs="Arial"/>
            <w:color w:val="648C94"/>
            <w:highlight w:val="yellow"/>
            <w:u w:val="single"/>
          </w:rPr>
          <w:t>suggested his trustee</w:t>
        </w:r>
      </w:hyperlink>
      <w:r w:rsidRPr="000D555D">
        <w:rPr>
          <w:rFonts w:ascii="Arial" w:hAnsi="Arial" w:cs="Arial"/>
          <w:color w:val="333333"/>
          <w:highlight w:val="yellow"/>
        </w:rPr>
        <w:t> </w:t>
      </w:r>
      <w:r w:rsidRPr="00C36D27">
        <w:rPr>
          <w:rFonts w:ascii="Arial" w:hAnsi="Arial" w:cs="Arial"/>
          <w:color w:val="333333"/>
          <w:highlight w:val="yellow"/>
        </w:rPr>
        <w:t xml:space="preserve">use a low-cost S&amp;P 500 index fund. He said at that time: “My advice to the trustee couldn’t be </w:t>
      </w:r>
      <w:proofErr w:type="gramStart"/>
      <w:r w:rsidRPr="00C36D27">
        <w:rPr>
          <w:rFonts w:ascii="Arial" w:hAnsi="Arial" w:cs="Arial"/>
          <w:color w:val="333333"/>
          <w:highlight w:val="yellow"/>
        </w:rPr>
        <w:t>more simple</w:t>
      </w:r>
      <w:proofErr w:type="gramEnd"/>
      <w:r w:rsidRPr="00C36D27">
        <w:rPr>
          <w:rFonts w:ascii="Arial" w:hAnsi="Arial" w:cs="Arial"/>
          <w:color w:val="333333"/>
          <w:highlight w:val="yellow"/>
        </w:rPr>
        <w:t>: Put 10% of the cash in short-term government bonds and 90% in a very low-cost S&amp;P 500 index fund. (I suggest Vanguard’s.)”</w:t>
      </w:r>
    </w:p>
    <w:p w:rsidR="00BD3BC2" w:rsidRDefault="00BD3BC2"/>
    <w:sectPr w:rsidR="00BD3B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27"/>
    <w:rsid w:val="000D555D"/>
    <w:rsid w:val="00232F6F"/>
    <w:rsid w:val="004F6A47"/>
    <w:rsid w:val="006E08FC"/>
    <w:rsid w:val="00731393"/>
    <w:rsid w:val="007F66C2"/>
    <w:rsid w:val="00960E5E"/>
    <w:rsid w:val="00BD3BC2"/>
    <w:rsid w:val="00C36D27"/>
    <w:rsid w:val="00C401FA"/>
    <w:rsid w:val="00E641FC"/>
    <w:rsid w:val="00F5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D27"/>
    <w:rPr>
      <w:rFonts w:ascii="Tahoma" w:hAnsi="Tahoma" w:cs="Tahoma"/>
      <w:sz w:val="16"/>
      <w:szCs w:val="16"/>
    </w:rPr>
  </w:style>
  <w:style w:type="character" w:customStyle="1" w:styleId="BalloonTextChar">
    <w:name w:val="Balloon Text Char"/>
    <w:basedOn w:val="DefaultParagraphFont"/>
    <w:link w:val="BalloonText"/>
    <w:rsid w:val="00C36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D27"/>
    <w:rPr>
      <w:rFonts w:ascii="Tahoma" w:hAnsi="Tahoma" w:cs="Tahoma"/>
      <w:sz w:val="16"/>
      <w:szCs w:val="16"/>
    </w:rPr>
  </w:style>
  <w:style w:type="character" w:customStyle="1" w:styleId="BalloonTextChar">
    <w:name w:val="Balloon Text Char"/>
    <w:basedOn w:val="DefaultParagraphFont"/>
    <w:link w:val="BalloonText"/>
    <w:rsid w:val="00C36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82701">
      <w:bodyDiv w:val="1"/>
      <w:marLeft w:val="0"/>
      <w:marRight w:val="0"/>
      <w:marTop w:val="0"/>
      <w:marBottom w:val="0"/>
      <w:divBdr>
        <w:top w:val="none" w:sz="0" w:space="0" w:color="auto"/>
        <w:left w:val="none" w:sz="0" w:space="0" w:color="auto"/>
        <w:bottom w:val="none" w:sz="0" w:space="0" w:color="auto"/>
        <w:right w:val="none" w:sz="0" w:space="0" w:color="auto"/>
      </w:divBdr>
      <w:divsChild>
        <w:div w:id="873495622">
          <w:marLeft w:val="0"/>
          <w:marRight w:val="0"/>
          <w:marTop w:val="375"/>
          <w:marBottom w:val="0"/>
          <w:divBdr>
            <w:top w:val="none" w:sz="0" w:space="0" w:color="auto"/>
            <w:left w:val="none" w:sz="0" w:space="0" w:color="auto"/>
            <w:bottom w:val="none" w:sz="0" w:space="0" w:color="auto"/>
            <w:right w:val="none" w:sz="0" w:space="0" w:color="auto"/>
          </w:divBdr>
        </w:div>
        <w:div w:id="2065174310">
          <w:marLeft w:val="0"/>
          <w:marRight w:val="0"/>
          <w:marTop w:val="0"/>
          <w:marBottom w:val="0"/>
          <w:divBdr>
            <w:top w:val="none" w:sz="0" w:space="0" w:color="auto"/>
            <w:left w:val="none" w:sz="0" w:space="0" w:color="auto"/>
            <w:bottom w:val="none" w:sz="0" w:space="0" w:color="auto"/>
            <w:right w:val="none" w:sz="0" w:space="0" w:color="auto"/>
          </w:divBdr>
          <w:divsChild>
            <w:div w:id="1142624247">
              <w:marLeft w:val="0"/>
              <w:marRight w:val="0"/>
              <w:marTop w:val="0"/>
              <w:marBottom w:val="300"/>
              <w:divBdr>
                <w:top w:val="none" w:sz="0" w:space="0" w:color="auto"/>
                <w:left w:val="none" w:sz="0" w:space="0" w:color="auto"/>
                <w:bottom w:val="none" w:sz="0" w:space="0" w:color="auto"/>
                <w:right w:val="none" w:sz="0" w:space="0" w:color="auto"/>
              </w:divBdr>
              <w:divsChild>
                <w:div w:id="2106069236">
                  <w:marLeft w:val="0"/>
                  <w:marRight w:val="0"/>
                  <w:marTop w:val="0"/>
                  <w:marBottom w:val="0"/>
                  <w:divBdr>
                    <w:top w:val="none" w:sz="0" w:space="0" w:color="auto"/>
                    <w:left w:val="none" w:sz="0" w:space="0" w:color="auto"/>
                    <w:bottom w:val="none" w:sz="0" w:space="0" w:color="auto"/>
                    <w:right w:val="none" w:sz="0" w:space="0" w:color="auto"/>
                  </w:divBdr>
                  <w:divsChild>
                    <w:div w:id="1132986758">
                      <w:marLeft w:val="0"/>
                      <w:marRight w:val="0"/>
                      <w:marTop w:val="0"/>
                      <w:marBottom w:val="0"/>
                      <w:divBdr>
                        <w:top w:val="none" w:sz="0" w:space="0" w:color="auto"/>
                        <w:left w:val="none" w:sz="0" w:space="0" w:color="auto"/>
                        <w:bottom w:val="none" w:sz="0" w:space="0" w:color="auto"/>
                        <w:right w:val="none" w:sz="0" w:space="0" w:color="auto"/>
                      </w:divBdr>
                    </w:div>
                  </w:divsChild>
                </w:div>
                <w:div w:id="1836189308">
                  <w:marLeft w:val="-60"/>
                  <w:marRight w:val="0"/>
                  <w:marTop w:val="0"/>
                  <w:marBottom w:val="0"/>
                  <w:divBdr>
                    <w:top w:val="none" w:sz="0" w:space="0" w:color="auto"/>
                    <w:left w:val="none" w:sz="0" w:space="0" w:color="auto"/>
                    <w:bottom w:val="none" w:sz="0" w:space="0" w:color="auto"/>
                    <w:right w:val="none" w:sz="0" w:space="0" w:color="auto"/>
                  </w:divBdr>
                </w:div>
              </w:divsChild>
            </w:div>
            <w:div w:id="2121683240">
              <w:marLeft w:val="0"/>
              <w:marRight w:val="0"/>
              <w:marTop w:val="0"/>
              <w:marBottom w:val="0"/>
              <w:divBdr>
                <w:top w:val="none" w:sz="0" w:space="0" w:color="auto"/>
                <w:left w:val="none" w:sz="0" w:space="0" w:color="auto"/>
                <w:bottom w:val="none" w:sz="0" w:space="0" w:color="auto"/>
                <w:right w:val="none" w:sz="0" w:space="0" w:color="auto"/>
              </w:divBdr>
            </w:div>
          </w:divsChild>
        </w:div>
        <w:div w:id="1858035530">
          <w:marLeft w:val="0"/>
          <w:marRight w:val="0"/>
          <w:marTop w:val="0"/>
          <w:marBottom w:val="0"/>
          <w:divBdr>
            <w:top w:val="none" w:sz="0" w:space="0" w:color="auto"/>
            <w:left w:val="none" w:sz="0" w:space="0" w:color="auto"/>
            <w:bottom w:val="none" w:sz="0" w:space="0" w:color="auto"/>
            <w:right w:val="none" w:sz="0" w:space="0" w:color="auto"/>
          </w:divBdr>
          <w:divsChild>
            <w:div w:id="922296500">
              <w:marLeft w:val="0"/>
              <w:marRight w:val="0"/>
              <w:marTop w:val="0"/>
              <w:marBottom w:val="0"/>
              <w:divBdr>
                <w:top w:val="none" w:sz="0" w:space="0" w:color="auto"/>
                <w:left w:val="none" w:sz="0" w:space="0" w:color="auto"/>
                <w:bottom w:val="none" w:sz="0" w:space="0" w:color="auto"/>
                <w:right w:val="none" w:sz="0" w:space="0" w:color="auto"/>
              </w:divBdr>
            </w:div>
            <w:div w:id="1469932701">
              <w:marLeft w:val="0"/>
              <w:marRight w:val="0"/>
              <w:marTop w:val="0"/>
              <w:marBottom w:val="0"/>
              <w:divBdr>
                <w:top w:val="none" w:sz="0" w:space="0" w:color="auto"/>
                <w:left w:val="none" w:sz="0" w:space="0" w:color="auto"/>
                <w:bottom w:val="none" w:sz="0" w:space="0" w:color="auto"/>
                <w:right w:val="none" w:sz="0" w:space="0" w:color="auto"/>
              </w:divBdr>
              <w:divsChild>
                <w:div w:id="1275208839">
                  <w:marLeft w:val="0"/>
                  <w:marRight w:val="0"/>
                  <w:marTop w:val="0"/>
                  <w:marBottom w:val="0"/>
                  <w:divBdr>
                    <w:top w:val="none" w:sz="0" w:space="0" w:color="auto"/>
                    <w:left w:val="none" w:sz="0" w:space="0" w:color="auto"/>
                    <w:bottom w:val="none" w:sz="0" w:space="0" w:color="auto"/>
                    <w:right w:val="none" w:sz="0" w:space="0" w:color="auto"/>
                  </w:divBdr>
                  <w:divsChild>
                    <w:div w:id="18749981">
                      <w:marLeft w:val="0"/>
                      <w:marRight w:val="0"/>
                      <w:marTop w:val="0"/>
                      <w:marBottom w:val="0"/>
                      <w:divBdr>
                        <w:top w:val="none" w:sz="0" w:space="0" w:color="auto"/>
                        <w:left w:val="none" w:sz="0" w:space="0" w:color="auto"/>
                        <w:bottom w:val="none" w:sz="0" w:space="0" w:color="auto"/>
                        <w:right w:val="none" w:sz="0" w:space="0" w:color="auto"/>
                      </w:divBdr>
                      <w:divsChild>
                        <w:div w:id="1284309728">
                          <w:marLeft w:val="0"/>
                          <w:marRight w:val="0"/>
                          <w:marTop w:val="0"/>
                          <w:marBottom w:val="75"/>
                          <w:divBdr>
                            <w:top w:val="none" w:sz="0" w:space="0" w:color="auto"/>
                            <w:left w:val="none" w:sz="0" w:space="0" w:color="auto"/>
                            <w:bottom w:val="none" w:sz="0" w:space="0" w:color="auto"/>
                            <w:right w:val="none" w:sz="0" w:space="0" w:color="auto"/>
                          </w:divBdr>
                        </w:div>
                        <w:div w:id="14787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97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investing/stock/brk.b?mod=MW_story_quote" TargetMode="External"/><Relationship Id="rId3" Type="http://schemas.openxmlformats.org/officeDocument/2006/relationships/settings" Target="settings.xml"/><Relationship Id="rId7" Type="http://schemas.openxmlformats.org/officeDocument/2006/relationships/hyperlink" Target="http://www.marketwatch.com/investing/stock/brk.a?mod=MW_story_quot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nbc.com/id/10246743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rketwatch.com/story/warren-buffett-to-heirs-put-my-estate-in-index-funds-2014-03-13" TargetMode="External"/><Relationship Id="rId4" Type="http://schemas.openxmlformats.org/officeDocument/2006/relationships/webSettings" Target="webSettings.xml"/><Relationship Id="rId9" Type="http://schemas.openxmlformats.org/officeDocument/2006/relationships/hyperlink" Target="http://www.bloomberg.com/apps/news?pid=newsarchive&amp;refer=home&amp;sid=a0YNS2XfOX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2015-03-02T19:59:00Z</dcterms:created>
  <dcterms:modified xsi:type="dcterms:W3CDTF">2015-03-02T19:59:00Z</dcterms:modified>
</cp:coreProperties>
</file>