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40" w:rsidRDefault="00D70040" w:rsidP="00D70040">
      <w:pPr>
        <w:pStyle w:val="Heading2"/>
        <w:jc w:val="center"/>
        <w:rPr>
          <w:b/>
          <w:i w:val="0"/>
        </w:rPr>
      </w:pPr>
      <w:r>
        <w:rPr>
          <w:b/>
          <w:i w:val="0"/>
        </w:rPr>
        <w:t>CHAPTER 5</w:t>
      </w:r>
    </w:p>
    <w:p w:rsidR="00D70040" w:rsidRDefault="00D70040" w:rsidP="00D70040">
      <w:pPr>
        <w:jc w:val="center"/>
        <w:rPr>
          <w:b/>
        </w:rPr>
      </w:pPr>
      <w:r>
        <w:rPr>
          <w:b/>
        </w:rPr>
        <w:t>Net Present Value and Other Investment Criteria</w:t>
      </w:r>
    </w:p>
    <w:p w:rsidR="00D70040" w:rsidRPr="00AA3E43" w:rsidRDefault="00D70040" w:rsidP="00D70040">
      <w:pPr>
        <w:pStyle w:val="Heading2"/>
        <w:rPr>
          <w:i w:val="0"/>
        </w:rPr>
      </w:pPr>
    </w:p>
    <w:p w:rsidR="00D70040" w:rsidRDefault="00D70040" w:rsidP="00D70040"/>
    <w:p w:rsidR="00D70040" w:rsidRDefault="00D70040" w:rsidP="00D70040">
      <w:pPr>
        <w:pStyle w:val="Heading2"/>
        <w:rPr>
          <w:b/>
        </w:rPr>
      </w:pPr>
      <w:r>
        <w:rPr>
          <w:b/>
        </w:rPr>
        <w:t>Answers to Problem Sets</w:t>
      </w:r>
    </w:p>
    <w:p w:rsidR="00D70040" w:rsidRDefault="00D70040" w:rsidP="00D70040">
      <w:pPr>
        <w:pStyle w:val="eaplnm"/>
        <w:tabs>
          <w:tab w:val="clear" w:pos="360"/>
          <w:tab w:val="left" w:pos="540"/>
          <w:tab w:val="left" w:pos="720"/>
        </w:tabs>
        <w:spacing w:before="0"/>
        <w:rPr>
          <w:rFonts w:ascii="Arial" w:hAnsi="Arial"/>
          <w:color w:val="auto"/>
          <w:sz w:val="24"/>
          <w:szCs w:val="20"/>
        </w:rPr>
      </w:pPr>
    </w:p>
    <w:p w:rsidR="00D70040" w:rsidRDefault="00D70040" w:rsidP="00D70040">
      <w:pPr>
        <w:pStyle w:val="eaplnm"/>
        <w:tabs>
          <w:tab w:val="clear" w:pos="360"/>
          <w:tab w:val="clear" w:pos="600"/>
          <w:tab w:val="left" w:pos="720"/>
        </w:tabs>
        <w:spacing w:before="0"/>
        <w:rPr>
          <w:rFonts w:ascii="Arial" w:hAnsi="Arial" w:cs="Arial"/>
          <w:color w:val="auto"/>
          <w:sz w:val="24"/>
          <w:szCs w:val="24"/>
        </w:rPr>
      </w:pPr>
      <w:r>
        <w:rPr>
          <w:rFonts w:ascii="Arial" w:hAnsi="Arial"/>
          <w:color w:val="auto"/>
          <w:sz w:val="24"/>
          <w:szCs w:val="20"/>
        </w:rPr>
        <w:t>1.</w:t>
      </w:r>
      <w:r>
        <w:rPr>
          <w:rFonts w:ascii="Arial" w:hAnsi="Arial"/>
          <w:color w:val="auto"/>
          <w:sz w:val="24"/>
          <w:szCs w:val="20"/>
        </w:rPr>
        <w:tab/>
      </w:r>
      <w:r>
        <w:rPr>
          <w:rFonts w:ascii="Arial" w:hAnsi="Arial"/>
          <w:color w:val="auto"/>
          <w:sz w:val="24"/>
          <w:szCs w:val="20"/>
        </w:rPr>
        <w:tab/>
      </w:r>
      <w:proofErr w:type="gramStart"/>
      <w:r w:rsidRPr="001837A5">
        <w:rPr>
          <w:rFonts w:ascii="Arial" w:hAnsi="Arial" w:cs="Arial"/>
          <w:sz w:val="24"/>
          <w:szCs w:val="24"/>
        </w:rPr>
        <w:t>a</w:t>
      </w:r>
      <w:proofErr w:type="gramEnd"/>
      <w:r>
        <w:rPr>
          <w:rFonts w:ascii="Arial" w:hAnsi="Arial" w:cs="Arial"/>
          <w:sz w:val="24"/>
          <w:szCs w:val="24"/>
        </w:rPr>
        <w:t>.</w:t>
      </w:r>
      <w:r w:rsidRPr="001837A5">
        <w:rPr>
          <w:rFonts w:ascii="Arial" w:hAnsi="Arial" w:cs="Arial"/>
          <w:color w:val="auto"/>
          <w:sz w:val="24"/>
          <w:szCs w:val="24"/>
        </w:rPr>
        <w:t xml:space="preserve"> </w:t>
      </w:r>
      <w:r>
        <w:rPr>
          <w:rFonts w:ascii="Arial" w:hAnsi="Arial" w:cs="Arial"/>
          <w:color w:val="auto"/>
          <w:sz w:val="24"/>
          <w:szCs w:val="24"/>
        </w:rPr>
        <w:tab/>
      </w:r>
      <w:r w:rsidRPr="001837A5">
        <w:rPr>
          <w:rFonts w:ascii="Arial" w:hAnsi="Arial" w:cs="Arial"/>
          <w:color w:val="auto"/>
          <w:sz w:val="24"/>
          <w:szCs w:val="24"/>
        </w:rPr>
        <w:t xml:space="preserve">A = 3 years, B = 2 years, C = 3 years </w:t>
      </w:r>
    </w:p>
    <w:p w:rsidR="00D70040" w:rsidRDefault="00D70040" w:rsidP="00D70040">
      <w:pPr>
        <w:pStyle w:val="eaplnm"/>
        <w:tabs>
          <w:tab w:val="clear" w:pos="360"/>
          <w:tab w:val="clear" w:pos="600"/>
          <w:tab w:val="left" w:pos="720"/>
        </w:tabs>
        <w:spacing w:before="0"/>
        <w:rPr>
          <w:rFonts w:ascii="Arial" w:hAnsi="Arial" w:cs="Arial"/>
          <w:color w:val="auto"/>
          <w:sz w:val="24"/>
          <w:szCs w:val="24"/>
        </w:rPr>
      </w:pPr>
    </w:p>
    <w:p w:rsidR="00D70040" w:rsidRDefault="00D70040" w:rsidP="00D70040">
      <w:pPr>
        <w:pStyle w:val="eaplnm"/>
        <w:tabs>
          <w:tab w:val="clear" w:pos="360"/>
          <w:tab w:val="left" w:pos="540"/>
          <w:tab w:val="left" w:pos="720"/>
        </w:tabs>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b. </w:t>
      </w:r>
      <w:r>
        <w:rPr>
          <w:rFonts w:ascii="Arial" w:hAnsi="Arial" w:cs="Arial"/>
          <w:color w:val="auto"/>
          <w:sz w:val="24"/>
          <w:szCs w:val="24"/>
        </w:rPr>
        <w:tab/>
        <w:t>B</w:t>
      </w:r>
    </w:p>
    <w:p w:rsidR="00D70040" w:rsidRDefault="00D70040" w:rsidP="00D70040">
      <w:pPr>
        <w:pStyle w:val="eaplnm"/>
        <w:tabs>
          <w:tab w:val="clear" w:pos="360"/>
          <w:tab w:val="left" w:pos="540"/>
          <w:tab w:val="left" w:pos="720"/>
        </w:tabs>
        <w:spacing w:before="0"/>
        <w:rPr>
          <w:rFonts w:ascii="Arial" w:hAnsi="Arial" w:cs="Arial"/>
          <w:color w:val="auto"/>
          <w:sz w:val="24"/>
          <w:szCs w:val="24"/>
        </w:rPr>
      </w:pPr>
    </w:p>
    <w:p w:rsidR="00D70040" w:rsidRDefault="00D70040" w:rsidP="00D70040">
      <w:pPr>
        <w:pStyle w:val="eaplnm"/>
        <w:tabs>
          <w:tab w:val="clear" w:pos="360"/>
          <w:tab w:val="left" w:pos="540"/>
          <w:tab w:val="left" w:pos="720"/>
          <w:tab w:val="left" w:pos="1440"/>
        </w:tabs>
        <w:spacing w:before="0"/>
        <w:rPr>
          <w:rFonts w:ascii="Arial" w:hAnsi="Arial" w:cs="Arial"/>
          <w:color w:val="auto"/>
          <w:spacing w:val="-3"/>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c. </w:t>
      </w:r>
      <w:r>
        <w:rPr>
          <w:rFonts w:ascii="Arial" w:hAnsi="Arial" w:cs="Arial"/>
          <w:color w:val="auto"/>
          <w:sz w:val="24"/>
          <w:szCs w:val="24"/>
        </w:rPr>
        <w:tab/>
      </w:r>
      <w:r w:rsidRPr="001837A5">
        <w:rPr>
          <w:rFonts w:ascii="Arial" w:hAnsi="Arial" w:cs="Arial"/>
          <w:color w:val="auto"/>
          <w:spacing w:val="-3"/>
          <w:sz w:val="24"/>
          <w:szCs w:val="24"/>
        </w:rPr>
        <w:t>A, B, and C</w:t>
      </w:r>
    </w:p>
    <w:p w:rsidR="00D70040" w:rsidRDefault="00D70040" w:rsidP="00D70040">
      <w:pPr>
        <w:pStyle w:val="eaplnm"/>
        <w:tabs>
          <w:tab w:val="clear" w:pos="360"/>
          <w:tab w:val="left" w:pos="540"/>
          <w:tab w:val="left" w:pos="720"/>
          <w:tab w:val="left" w:pos="1440"/>
        </w:tabs>
        <w:spacing w:before="0"/>
        <w:rPr>
          <w:rFonts w:ascii="Arial" w:hAnsi="Arial" w:cs="Arial"/>
          <w:color w:val="auto"/>
          <w:spacing w:val="-3"/>
          <w:sz w:val="24"/>
          <w:szCs w:val="24"/>
        </w:rPr>
      </w:pPr>
      <w:r w:rsidRPr="001837A5">
        <w:rPr>
          <w:rFonts w:ascii="Arial" w:hAnsi="Arial" w:cs="Arial"/>
          <w:color w:val="auto"/>
          <w:spacing w:val="-3"/>
          <w:sz w:val="24"/>
          <w:szCs w:val="24"/>
        </w:rPr>
        <w:t xml:space="preserve"> </w:t>
      </w:r>
    </w:p>
    <w:p w:rsidR="00D70040" w:rsidRDefault="00D70040" w:rsidP="00D70040">
      <w:pPr>
        <w:pStyle w:val="eaplnm"/>
        <w:tabs>
          <w:tab w:val="clear" w:pos="360"/>
          <w:tab w:val="left" w:pos="540"/>
          <w:tab w:val="left" w:pos="720"/>
        </w:tabs>
        <w:spacing w:before="0"/>
        <w:rPr>
          <w:rFonts w:ascii="Arial" w:hAnsi="Arial" w:cs="Arial"/>
          <w:color w:val="auto"/>
          <w:sz w:val="24"/>
          <w:szCs w:val="24"/>
        </w:rPr>
      </w:pPr>
      <w:r>
        <w:rPr>
          <w:rFonts w:ascii="Arial" w:hAnsi="Arial" w:cs="Arial"/>
          <w:color w:val="auto"/>
          <w:spacing w:val="-3"/>
          <w:sz w:val="24"/>
          <w:szCs w:val="24"/>
        </w:rPr>
        <w:tab/>
      </w:r>
      <w:r>
        <w:rPr>
          <w:rFonts w:ascii="Arial" w:hAnsi="Arial" w:cs="Arial"/>
          <w:color w:val="auto"/>
          <w:spacing w:val="-3"/>
          <w:sz w:val="24"/>
          <w:szCs w:val="24"/>
        </w:rPr>
        <w:tab/>
      </w:r>
      <w:r>
        <w:rPr>
          <w:rFonts w:ascii="Arial" w:hAnsi="Arial" w:cs="Arial"/>
          <w:color w:val="auto"/>
          <w:spacing w:val="-3"/>
          <w:sz w:val="24"/>
          <w:szCs w:val="24"/>
        </w:rPr>
        <w:tab/>
      </w:r>
      <w:r>
        <w:rPr>
          <w:rFonts w:ascii="Arial" w:hAnsi="Arial" w:cs="Arial"/>
          <w:color w:val="auto"/>
          <w:spacing w:val="-3"/>
          <w:sz w:val="24"/>
          <w:szCs w:val="24"/>
        </w:rPr>
        <w:tab/>
        <w:t>d.</w:t>
      </w:r>
      <w:r>
        <w:rPr>
          <w:rFonts w:ascii="Arial" w:hAnsi="Arial" w:cs="Arial"/>
          <w:color w:val="auto"/>
          <w:sz w:val="24"/>
          <w:szCs w:val="24"/>
        </w:rPr>
        <w:t xml:space="preserve"> </w:t>
      </w:r>
      <w:r>
        <w:rPr>
          <w:rFonts w:ascii="Arial" w:hAnsi="Arial" w:cs="Arial"/>
          <w:color w:val="auto"/>
          <w:sz w:val="24"/>
          <w:szCs w:val="24"/>
        </w:rPr>
        <w:tab/>
      </w:r>
      <w:r w:rsidRPr="001837A5">
        <w:rPr>
          <w:rFonts w:ascii="Arial" w:hAnsi="Arial" w:cs="Arial"/>
          <w:color w:val="auto"/>
          <w:spacing w:val="-3"/>
          <w:sz w:val="24"/>
          <w:szCs w:val="24"/>
        </w:rPr>
        <w:t>B and C (NPV</w:t>
      </w:r>
      <w:r w:rsidRPr="001837A5">
        <w:rPr>
          <w:rStyle w:val="sub"/>
          <w:rFonts w:cs="Arial"/>
          <w:color w:val="auto"/>
          <w:spacing w:val="-3"/>
          <w:szCs w:val="24"/>
        </w:rPr>
        <w:t>B</w:t>
      </w:r>
      <w:r w:rsidRPr="001837A5">
        <w:rPr>
          <w:rFonts w:ascii="Arial" w:hAnsi="Arial" w:cs="Arial"/>
          <w:color w:val="auto"/>
          <w:spacing w:val="-3"/>
          <w:sz w:val="24"/>
          <w:szCs w:val="24"/>
        </w:rPr>
        <w:t> = $3,378; NPV</w:t>
      </w:r>
      <w:r w:rsidRPr="001837A5">
        <w:rPr>
          <w:rStyle w:val="sub"/>
          <w:rFonts w:cs="Arial"/>
          <w:i/>
          <w:iCs/>
          <w:color w:val="auto"/>
          <w:spacing w:val="-3"/>
          <w:szCs w:val="24"/>
        </w:rPr>
        <w:t>C</w:t>
      </w:r>
      <w:r w:rsidRPr="001837A5">
        <w:rPr>
          <w:rFonts w:ascii="Arial" w:hAnsi="Arial" w:cs="Arial"/>
          <w:color w:val="auto"/>
          <w:spacing w:val="-3"/>
          <w:sz w:val="24"/>
          <w:szCs w:val="24"/>
        </w:rPr>
        <w:t xml:space="preserve"> = </w:t>
      </w:r>
      <w:r w:rsidRPr="001837A5">
        <w:rPr>
          <w:rFonts w:ascii="Arial" w:hAnsi="Arial" w:cs="Arial"/>
          <w:color w:val="auto"/>
          <w:sz w:val="24"/>
          <w:szCs w:val="24"/>
        </w:rPr>
        <w:t xml:space="preserve">$2,405) </w:t>
      </w:r>
    </w:p>
    <w:p w:rsidR="00D70040" w:rsidRDefault="00D70040" w:rsidP="00D70040">
      <w:pPr>
        <w:pStyle w:val="eaplnm"/>
        <w:tabs>
          <w:tab w:val="clear" w:pos="360"/>
          <w:tab w:val="left" w:pos="540"/>
          <w:tab w:val="left" w:pos="720"/>
        </w:tabs>
        <w:spacing w:before="0"/>
        <w:rPr>
          <w:rFonts w:ascii="Arial" w:hAnsi="Arial" w:cs="Arial"/>
          <w:color w:val="auto"/>
          <w:sz w:val="24"/>
          <w:szCs w:val="24"/>
        </w:rPr>
      </w:pPr>
    </w:p>
    <w:p w:rsidR="00D70040" w:rsidRDefault="00D70040" w:rsidP="00D70040">
      <w:pPr>
        <w:pStyle w:val="eaplnm"/>
        <w:tabs>
          <w:tab w:val="clear" w:pos="360"/>
          <w:tab w:val="left" w:pos="540"/>
          <w:tab w:val="left" w:pos="720"/>
        </w:tabs>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e.</w:t>
      </w:r>
      <w:r w:rsidRPr="001837A5">
        <w:rPr>
          <w:rFonts w:ascii="Arial" w:hAnsi="Arial" w:cs="Arial"/>
          <w:color w:val="auto"/>
          <w:sz w:val="24"/>
          <w:szCs w:val="24"/>
        </w:rPr>
        <w:t xml:space="preserve"> </w:t>
      </w:r>
      <w:r>
        <w:rPr>
          <w:rFonts w:ascii="Arial" w:hAnsi="Arial" w:cs="Arial"/>
          <w:color w:val="auto"/>
          <w:sz w:val="24"/>
          <w:szCs w:val="24"/>
        </w:rPr>
        <w:tab/>
        <w:t>T</w:t>
      </w:r>
      <w:r w:rsidRPr="001837A5">
        <w:rPr>
          <w:rFonts w:ascii="Arial" w:hAnsi="Arial" w:cs="Arial"/>
          <w:color w:val="auto"/>
          <w:sz w:val="24"/>
          <w:szCs w:val="24"/>
        </w:rPr>
        <w:t xml:space="preserve">rue </w:t>
      </w:r>
    </w:p>
    <w:p w:rsidR="00D70040" w:rsidRDefault="00D70040" w:rsidP="00D70040">
      <w:pPr>
        <w:pStyle w:val="eaplnm"/>
        <w:tabs>
          <w:tab w:val="clear" w:pos="360"/>
          <w:tab w:val="left" w:pos="540"/>
          <w:tab w:val="left" w:pos="720"/>
        </w:tabs>
        <w:spacing w:before="0"/>
        <w:rPr>
          <w:rFonts w:ascii="Arial" w:hAnsi="Arial" w:cs="Arial"/>
          <w:color w:val="auto"/>
          <w:sz w:val="24"/>
          <w:szCs w:val="24"/>
        </w:rPr>
      </w:pPr>
    </w:p>
    <w:p w:rsidR="00D70040" w:rsidRDefault="00D70040" w:rsidP="00D70040">
      <w:pPr>
        <w:pStyle w:val="eaplnm"/>
        <w:tabs>
          <w:tab w:val="clear" w:pos="360"/>
          <w:tab w:val="left" w:pos="540"/>
          <w:tab w:val="left" w:pos="720"/>
        </w:tabs>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f. </w:t>
      </w:r>
      <w:r>
        <w:rPr>
          <w:rFonts w:ascii="Arial" w:hAnsi="Arial" w:cs="Arial"/>
          <w:color w:val="auto"/>
          <w:sz w:val="24"/>
          <w:szCs w:val="24"/>
        </w:rPr>
        <w:tab/>
      </w:r>
      <w:r w:rsidRPr="001837A5">
        <w:rPr>
          <w:rFonts w:ascii="Arial" w:hAnsi="Arial" w:cs="Arial"/>
          <w:color w:val="auto"/>
          <w:sz w:val="24"/>
          <w:szCs w:val="24"/>
        </w:rPr>
        <w:t xml:space="preserve">It will accept no negative-NPV projects but will turn down some with </w:t>
      </w:r>
    </w:p>
    <w:p w:rsidR="00D70040" w:rsidRDefault="00D70040" w:rsidP="00D70040">
      <w:pPr>
        <w:pStyle w:val="eaplnm"/>
        <w:tabs>
          <w:tab w:val="clear" w:pos="360"/>
          <w:tab w:val="left" w:pos="540"/>
          <w:tab w:val="left" w:pos="720"/>
        </w:tabs>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1837A5">
        <w:rPr>
          <w:rFonts w:ascii="Arial" w:hAnsi="Arial" w:cs="Arial"/>
          <w:color w:val="auto"/>
          <w:sz w:val="24"/>
          <w:szCs w:val="24"/>
        </w:rPr>
        <w:t>positive</w:t>
      </w:r>
      <w:proofErr w:type="gramEnd"/>
      <w:r w:rsidRPr="001837A5">
        <w:rPr>
          <w:rFonts w:ascii="Arial" w:hAnsi="Arial" w:cs="Arial"/>
          <w:color w:val="auto"/>
          <w:sz w:val="24"/>
          <w:szCs w:val="24"/>
        </w:rPr>
        <w:t xml:space="preserve"> NPVs. A project can have positive NPV if all future cash flows are   </w:t>
      </w:r>
    </w:p>
    <w:p w:rsidR="00D70040" w:rsidRPr="001837A5" w:rsidRDefault="00D70040" w:rsidP="00D70040">
      <w:pPr>
        <w:pStyle w:val="eaplnm"/>
        <w:tabs>
          <w:tab w:val="clear" w:pos="360"/>
          <w:tab w:val="left" w:pos="540"/>
          <w:tab w:val="left" w:pos="720"/>
        </w:tabs>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1837A5">
        <w:rPr>
          <w:rFonts w:ascii="Arial" w:hAnsi="Arial" w:cs="Arial"/>
          <w:color w:val="auto"/>
          <w:sz w:val="24"/>
          <w:szCs w:val="24"/>
        </w:rPr>
        <w:t>considered</w:t>
      </w:r>
      <w:proofErr w:type="gramEnd"/>
      <w:r w:rsidRPr="001837A5">
        <w:rPr>
          <w:rFonts w:ascii="Arial" w:hAnsi="Arial" w:cs="Arial"/>
          <w:color w:val="auto"/>
          <w:sz w:val="24"/>
          <w:szCs w:val="24"/>
        </w:rPr>
        <w:t xml:space="preserve"> but still do not meet the stated cutoff period.</w:t>
      </w:r>
    </w:p>
    <w:p w:rsidR="00D70040" w:rsidRDefault="00D70040" w:rsidP="00D70040">
      <w:pPr>
        <w:pStyle w:val="eaplnm"/>
        <w:spacing w:before="0"/>
        <w:rPr>
          <w:rFonts w:cs="Arial"/>
          <w:color w:val="auto"/>
          <w:sz w:val="24"/>
          <w:szCs w:val="24"/>
        </w:rPr>
      </w:pPr>
      <w:r w:rsidRPr="001837A5">
        <w:rPr>
          <w:rFonts w:cs="Arial"/>
          <w:color w:val="auto"/>
          <w:sz w:val="24"/>
          <w:szCs w:val="24"/>
        </w:rPr>
        <w:t> </w:t>
      </w:r>
    </w:p>
    <w:p w:rsidR="00D70040" w:rsidRPr="001837A5" w:rsidRDefault="00D70040" w:rsidP="00D70040">
      <w:pPr>
        <w:pStyle w:val="eaplnm"/>
        <w:spacing w:before="0"/>
        <w:rPr>
          <w:rFonts w:ascii="Arial" w:hAnsi="Arial" w:cs="Arial"/>
          <w:color w:val="auto"/>
          <w:sz w:val="24"/>
          <w:szCs w:val="24"/>
        </w:rPr>
      </w:pPr>
    </w:p>
    <w:p w:rsidR="00D70040" w:rsidRPr="001837A5" w:rsidRDefault="00D70040" w:rsidP="00D70040">
      <w:pPr>
        <w:pStyle w:val="eaplnm"/>
        <w:tabs>
          <w:tab w:val="clear" w:pos="600"/>
          <w:tab w:val="left" w:pos="720"/>
        </w:tabs>
        <w:spacing w:before="0"/>
        <w:rPr>
          <w:rFonts w:ascii="Arial" w:hAnsi="Arial" w:cs="Arial"/>
          <w:color w:val="auto"/>
          <w:sz w:val="24"/>
          <w:szCs w:val="24"/>
        </w:rPr>
      </w:pPr>
      <w:r w:rsidRPr="001837A5">
        <w:rPr>
          <w:rStyle w:val="bold"/>
          <w:rFonts w:cs="Arial"/>
          <w:b w:val="0"/>
          <w:bCs w:val="0"/>
          <w:color w:val="auto"/>
          <w:szCs w:val="24"/>
        </w:rPr>
        <w:t>2.</w:t>
      </w:r>
      <w:r w:rsidRPr="001837A5">
        <w:rPr>
          <w:rFonts w:ascii="Arial" w:hAnsi="Arial" w:cs="Arial"/>
          <w:color w:val="auto"/>
          <w:sz w:val="24"/>
          <w:szCs w:val="24"/>
        </w:rPr>
        <w:tab/>
      </w:r>
      <w:r>
        <w:rPr>
          <w:rFonts w:ascii="Arial" w:hAnsi="Arial" w:cs="Arial"/>
          <w:color w:val="auto"/>
          <w:sz w:val="24"/>
          <w:szCs w:val="24"/>
        </w:rPr>
        <w:tab/>
      </w:r>
      <w:r w:rsidRPr="001837A5">
        <w:rPr>
          <w:rFonts w:ascii="Arial" w:hAnsi="Arial" w:cs="Arial"/>
          <w:color w:val="auto"/>
          <w:sz w:val="24"/>
          <w:szCs w:val="24"/>
        </w:rPr>
        <w:t xml:space="preserve">Given the cash flows </w:t>
      </w:r>
      <w:r w:rsidRPr="001837A5">
        <w:rPr>
          <w:rStyle w:val="italic"/>
          <w:rFonts w:ascii="Arial" w:hAnsi="Arial" w:cs="Arial"/>
          <w:i w:val="0"/>
          <w:iCs w:val="0"/>
          <w:color w:val="auto"/>
          <w:sz w:val="24"/>
          <w:szCs w:val="24"/>
        </w:rPr>
        <w:t>C</w:t>
      </w:r>
      <w:r w:rsidRPr="001837A5">
        <w:rPr>
          <w:rStyle w:val="sub"/>
          <w:rFonts w:cs="Arial"/>
          <w:color w:val="auto"/>
          <w:szCs w:val="24"/>
        </w:rPr>
        <w:t>0</w:t>
      </w:r>
      <w:r w:rsidRPr="001837A5">
        <w:rPr>
          <w:rFonts w:ascii="Arial" w:hAnsi="Arial" w:cs="Arial"/>
          <w:color w:val="auto"/>
          <w:sz w:val="24"/>
          <w:szCs w:val="24"/>
        </w:rPr>
        <w:t xml:space="preserve">, </w:t>
      </w:r>
      <w:r w:rsidRPr="001837A5">
        <w:rPr>
          <w:rStyle w:val="italic"/>
          <w:rFonts w:ascii="Arial" w:hAnsi="Arial" w:cs="Arial"/>
          <w:i w:val="0"/>
          <w:iCs w:val="0"/>
          <w:color w:val="auto"/>
          <w:sz w:val="24"/>
          <w:szCs w:val="24"/>
        </w:rPr>
        <w:t>C</w:t>
      </w:r>
      <w:r w:rsidRPr="001837A5">
        <w:rPr>
          <w:rStyle w:val="sub"/>
          <w:rFonts w:cs="Arial"/>
          <w:color w:val="auto"/>
          <w:szCs w:val="24"/>
        </w:rPr>
        <w:t>1</w:t>
      </w:r>
      <w:proofErr w:type="gramStart"/>
      <w:r w:rsidRPr="001837A5">
        <w:rPr>
          <w:rFonts w:ascii="Arial" w:hAnsi="Arial" w:cs="Arial"/>
          <w:color w:val="auto"/>
          <w:sz w:val="24"/>
          <w:szCs w:val="24"/>
        </w:rPr>
        <w:t>, . . . ,</w:t>
      </w:r>
      <w:proofErr w:type="gramEnd"/>
      <w:r w:rsidRPr="001837A5">
        <w:rPr>
          <w:rFonts w:ascii="Arial" w:hAnsi="Arial" w:cs="Arial"/>
          <w:color w:val="auto"/>
          <w:sz w:val="24"/>
          <w:szCs w:val="24"/>
        </w:rPr>
        <w:t xml:space="preserve"> </w:t>
      </w:r>
      <w:r w:rsidRPr="001837A5">
        <w:rPr>
          <w:rStyle w:val="italic"/>
          <w:rFonts w:ascii="Arial" w:hAnsi="Arial" w:cs="Arial"/>
          <w:i w:val="0"/>
          <w:iCs w:val="0"/>
          <w:color w:val="auto"/>
          <w:sz w:val="24"/>
          <w:szCs w:val="24"/>
        </w:rPr>
        <w:t>C</w:t>
      </w:r>
      <w:r w:rsidRPr="001837A5">
        <w:rPr>
          <w:rStyle w:val="sub"/>
          <w:rFonts w:cs="Arial"/>
          <w:i/>
          <w:iCs/>
          <w:color w:val="auto"/>
          <w:szCs w:val="24"/>
        </w:rPr>
        <w:t>T</w:t>
      </w:r>
      <w:r w:rsidRPr="001837A5">
        <w:rPr>
          <w:rFonts w:ascii="Arial" w:hAnsi="Arial" w:cs="Arial"/>
          <w:color w:val="auto"/>
          <w:sz w:val="24"/>
          <w:szCs w:val="24"/>
        </w:rPr>
        <w:t>, IRR is defined by</w:t>
      </w:r>
      <w:r>
        <w:rPr>
          <w:rFonts w:ascii="Arial" w:hAnsi="Arial" w:cs="Arial"/>
          <w:color w:val="auto"/>
          <w:sz w:val="24"/>
          <w:szCs w:val="24"/>
        </w:rPr>
        <w:t>:</w:t>
      </w:r>
    </w:p>
    <w:p w:rsidR="00D70040" w:rsidRPr="001837A5" w:rsidRDefault="00D70040" w:rsidP="00D70040">
      <w:pPr>
        <w:pStyle w:val="eaplnm"/>
        <w:spacing w:before="0"/>
        <w:ind w:firstLine="0"/>
        <w:rPr>
          <w:rFonts w:ascii="Arial" w:hAnsi="Arial" w:cs="Arial"/>
          <w:color w:val="auto"/>
          <w:sz w:val="24"/>
          <w:szCs w:val="24"/>
        </w:rPr>
      </w:pPr>
    </w:p>
    <w:p w:rsidR="00D70040" w:rsidRPr="001837A5" w:rsidRDefault="00D70040" w:rsidP="00D70040">
      <w:pPr>
        <w:pStyle w:val="eaplnm"/>
        <w:spacing w:before="0"/>
        <w:ind w:firstLin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noProof/>
          <w:color w:val="auto"/>
          <w:sz w:val="24"/>
          <w:szCs w:val="24"/>
        </w:rPr>
        <w:drawing>
          <wp:inline distT="0" distB="0" distL="0" distR="0">
            <wp:extent cx="2362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62200" cy="838200"/>
                    </a:xfrm>
                    <a:prstGeom prst="rect">
                      <a:avLst/>
                    </a:prstGeom>
                    <a:noFill/>
                    <a:ln w="9525">
                      <a:noFill/>
                      <a:miter lim="800000"/>
                      <a:headEnd/>
                      <a:tailEnd/>
                    </a:ln>
                  </pic:spPr>
                </pic:pic>
              </a:graphicData>
            </a:graphic>
          </wp:inline>
        </w:drawing>
      </w:r>
    </w:p>
    <w:p w:rsidR="00D70040" w:rsidRPr="001837A5" w:rsidRDefault="00D70040" w:rsidP="00D70040">
      <w:pPr>
        <w:pStyle w:val="eaplnm"/>
        <w:spacing w:before="0"/>
        <w:ind w:firstLine="0"/>
        <w:rPr>
          <w:rFonts w:ascii="Arial" w:hAnsi="Arial" w:cs="Arial"/>
          <w:color w:val="auto"/>
          <w:sz w:val="24"/>
          <w:szCs w:val="24"/>
        </w:rPr>
      </w:pPr>
    </w:p>
    <w:p w:rsidR="00D70040" w:rsidRDefault="00D70040" w:rsidP="00D70040">
      <w:pPr>
        <w:pStyle w:val="eaplnm"/>
        <w:spacing w:before="0"/>
        <w:ind w:left="600"/>
        <w:rPr>
          <w:rFonts w:ascii="Arial" w:hAnsi="Arial" w:cs="Arial"/>
          <w:color w:val="auto"/>
          <w:sz w:val="24"/>
          <w:szCs w:val="24"/>
        </w:rPr>
      </w:pPr>
      <w:r w:rsidRPr="001837A5">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1837A5">
        <w:rPr>
          <w:rFonts w:ascii="Arial" w:hAnsi="Arial" w:cs="Arial"/>
          <w:color w:val="auto"/>
          <w:sz w:val="24"/>
          <w:szCs w:val="24"/>
        </w:rPr>
        <w:t xml:space="preserve">It is calculated by trial and error, by financial calculators, or by spreadsheet </w:t>
      </w:r>
    </w:p>
    <w:p w:rsidR="00D70040" w:rsidRPr="001837A5" w:rsidRDefault="00D70040" w:rsidP="00D70040">
      <w:pPr>
        <w:pStyle w:val="eaplnm"/>
        <w:spacing w:before="0"/>
        <w:ind w:left="60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1837A5">
        <w:rPr>
          <w:rFonts w:ascii="Arial" w:hAnsi="Arial" w:cs="Arial"/>
          <w:color w:val="auto"/>
          <w:sz w:val="24"/>
          <w:szCs w:val="24"/>
        </w:rPr>
        <w:t>programs</w:t>
      </w:r>
      <w:proofErr w:type="gramEnd"/>
      <w:r w:rsidRPr="001837A5">
        <w:rPr>
          <w:rFonts w:ascii="Arial" w:hAnsi="Arial" w:cs="Arial"/>
          <w:color w:val="auto"/>
          <w:sz w:val="24"/>
          <w:szCs w:val="24"/>
        </w:rPr>
        <w:t>.</w:t>
      </w:r>
    </w:p>
    <w:p w:rsidR="00D70040" w:rsidRDefault="00D70040" w:rsidP="00D70040">
      <w:pPr>
        <w:pStyle w:val="eaplnm"/>
        <w:spacing w:before="0"/>
        <w:rPr>
          <w:rFonts w:cs="Arial"/>
          <w:color w:val="auto"/>
          <w:sz w:val="24"/>
          <w:szCs w:val="24"/>
        </w:rPr>
      </w:pPr>
      <w:r w:rsidRPr="001837A5">
        <w:rPr>
          <w:rFonts w:cs="Arial"/>
          <w:color w:val="auto"/>
          <w:sz w:val="24"/>
          <w:szCs w:val="24"/>
        </w:rPr>
        <w:t> </w:t>
      </w:r>
    </w:p>
    <w:p w:rsidR="00D70040" w:rsidRPr="001837A5" w:rsidRDefault="00D70040" w:rsidP="00D70040">
      <w:pPr>
        <w:pStyle w:val="eaplnm"/>
        <w:spacing w:before="0"/>
        <w:rPr>
          <w:rFonts w:ascii="Arial" w:hAnsi="Arial" w:cs="Arial"/>
          <w:color w:val="auto"/>
          <w:sz w:val="24"/>
          <w:szCs w:val="24"/>
        </w:rPr>
      </w:pPr>
    </w:p>
    <w:p w:rsidR="00D70040" w:rsidRDefault="00D70040" w:rsidP="00D70040">
      <w:pPr>
        <w:pStyle w:val="eaplnm"/>
        <w:spacing w:before="0"/>
        <w:rPr>
          <w:rFonts w:ascii="Arial" w:hAnsi="Arial" w:cs="Arial"/>
          <w:color w:val="auto"/>
          <w:sz w:val="24"/>
          <w:szCs w:val="24"/>
        </w:rPr>
      </w:pPr>
      <w:r w:rsidRPr="001837A5">
        <w:rPr>
          <w:rStyle w:val="bold"/>
          <w:rFonts w:cs="Arial"/>
          <w:b w:val="0"/>
          <w:bCs w:val="0"/>
          <w:color w:val="auto"/>
          <w:szCs w:val="24"/>
        </w:rPr>
        <w:t>3.</w:t>
      </w:r>
      <w:r w:rsidRPr="001837A5">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1837A5">
        <w:rPr>
          <w:rStyle w:val="bold"/>
          <w:rFonts w:cs="Arial"/>
          <w:b w:val="0"/>
          <w:bCs w:val="0"/>
          <w:color w:val="auto"/>
          <w:szCs w:val="24"/>
        </w:rPr>
        <w:t>a</w:t>
      </w:r>
      <w:proofErr w:type="gramEnd"/>
      <w:r>
        <w:rPr>
          <w:rFonts w:ascii="Arial" w:hAnsi="Arial" w:cs="Arial"/>
          <w:color w:val="auto"/>
          <w:sz w:val="24"/>
          <w:szCs w:val="24"/>
        </w:rPr>
        <w:t xml:space="preserve">. </w:t>
      </w:r>
      <w:r>
        <w:rPr>
          <w:rFonts w:ascii="Arial" w:hAnsi="Arial" w:cs="Arial"/>
          <w:color w:val="auto"/>
          <w:sz w:val="24"/>
          <w:szCs w:val="24"/>
        </w:rPr>
        <w:tab/>
        <w:t>$15,750; $4,250; $0</w:t>
      </w:r>
    </w:p>
    <w:p w:rsidR="00D70040" w:rsidRDefault="00D70040" w:rsidP="00D70040">
      <w:pPr>
        <w:pStyle w:val="eaplnm"/>
        <w:spacing w:before="0"/>
        <w:rPr>
          <w:rFonts w:ascii="Arial" w:hAnsi="Arial" w:cs="Arial"/>
          <w:color w:val="auto"/>
          <w:sz w:val="24"/>
          <w:szCs w:val="24"/>
        </w:rPr>
      </w:pPr>
    </w:p>
    <w:p w:rsidR="00D70040" w:rsidRPr="001837A5" w:rsidRDefault="00D70040" w:rsidP="00D70040">
      <w:pPr>
        <w:pStyle w:val="eaplnm"/>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1837A5">
        <w:rPr>
          <w:rStyle w:val="bold"/>
          <w:rFonts w:cs="Arial"/>
          <w:b w:val="0"/>
          <w:bCs w:val="0"/>
          <w:color w:val="auto"/>
          <w:szCs w:val="24"/>
        </w:rPr>
        <w:t>b</w:t>
      </w:r>
      <w:r>
        <w:rPr>
          <w:rFonts w:ascii="Arial" w:hAnsi="Arial" w:cs="Arial"/>
          <w:color w:val="auto"/>
          <w:sz w:val="24"/>
          <w:szCs w:val="24"/>
        </w:rPr>
        <w:t>.</w:t>
      </w:r>
      <w:r w:rsidRPr="001837A5">
        <w:rPr>
          <w:rFonts w:ascii="Arial" w:hAnsi="Arial" w:cs="Arial"/>
          <w:color w:val="auto"/>
          <w:sz w:val="24"/>
          <w:szCs w:val="24"/>
        </w:rPr>
        <w:t xml:space="preserve"> </w:t>
      </w:r>
      <w:r>
        <w:rPr>
          <w:rFonts w:ascii="Arial" w:hAnsi="Arial" w:cs="Arial"/>
          <w:color w:val="auto"/>
          <w:sz w:val="24"/>
          <w:szCs w:val="24"/>
        </w:rPr>
        <w:tab/>
      </w:r>
      <w:r w:rsidRPr="001837A5">
        <w:rPr>
          <w:rFonts w:ascii="Arial" w:hAnsi="Arial" w:cs="Arial"/>
          <w:color w:val="auto"/>
          <w:sz w:val="24"/>
          <w:szCs w:val="24"/>
        </w:rPr>
        <w:t>100</w:t>
      </w:r>
      <w:proofErr w:type="gramEnd"/>
      <w:r w:rsidRPr="001837A5">
        <w:rPr>
          <w:rFonts w:ascii="Arial" w:hAnsi="Arial" w:cs="Arial"/>
          <w:color w:val="auto"/>
          <w:sz w:val="24"/>
          <w:szCs w:val="24"/>
        </w:rPr>
        <w:t>%.</w:t>
      </w:r>
    </w:p>
    <w:p w:rsidR="00D70040" w:rsidRDefault="00D70040" w:rsidP="00D70040">
      <w:pPr>
        <w:pStyle w:val="eaplnm"/>
        <w:spacing w:before="0"/>
        <w:rPr>
          <w:rFonts w:cs="Arial"/>
          <w:color w:val="auto"/>
          <w:sz w:val="24"/>
          <w:szCs w:val="24"/>
        </w:rPr>
      </w:pPr>
      <w:r w:rsidRPr="001837A5">
        <w:rPr>
          <w:rFonts w:cs="Arial"/>
          <w:color w:val="auto"/>
          <w:sz w:val="24"/>
          <w:szCs w:val="24"/>
        </w:rPr>
        <w:t> </w:t>
      </w:r>
    </w:p>
    <w:p w:rsidR="00D70040" w:rsidRPr="001837A5" w:rsidRDefault="00D70040" w:rsidP="00D70040">
      <w:pPr>
        <w:pStyle w:val="eaplnm"/>
        <w:spacing w:before="0"/>
        <w:rPr>
          <w:rFonts w:ascii="Arial" w:hAnsi="Arial" w:cs="Arial"/>
          <w:color w:val="auto"/>
          <w:sz w:val="24"/>
          <w:szCs w:val="24"/>
        </w:rPr>
      </w:pPr>
    </w:p>
    <w:p w:rsidR="00D70040" w:rsidRPr="001837A5" w:rsidRDefault="00D70040" w:rsidP="00D70040">
      <w:pPr>
        <w:pStyle w:val="eaplnm"/>
        <w:spacing w:before="0"/>
        <w:ind w:left="720" w:hanging="720"/>
        <w:rPr>
          <w:rFonts w:ascii="Arial" w:hAnsi="Arial" w:cs="Arial"/>
          <w:color w:val="auto"/>
          <w:sz w:val="24"/>
          <w:szCs w:val="24"/>
        </w:rPr>
      </w:pPr>
      <w:r w:rsidRPr="001837A5">
        <w:rPr>
          <w:rStyle w:val="bold"/>
          <w:rFonts w:cs="Arial"/>
          <w:b w:val="0"/>
          <w:bCs w:val="0"/>
          <w:color w:val="auto"/>
          <w:szCs w:val="24"/>
        </w:rPr>
        <w:t>4.</w:t>
      </w:r>
      <w:r w:rsidRPr="001837A5">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1837A5">
        <w:rPr>
          <w:rFonts w:ascii="Arial" w:hAnsi="Arial" w:cs="Arial"/>
          <w:color w:val="auto"/>
          <w:sz w:val="24"/>
          <w:szCs w:val="24"/>
        </w:rPr>
        <w:t>No (you are effectively “borrowing” at a rate of interest highe</w:t>
      </w:r>
      <w:r>
        <w:rPr>
          <w:rFonts w:ascii="Arial" w:hAnsi="Arial" w:cs="Arial"/>
          <w:color w:val="auto"/>
          <w:sz w:val="24"/>
          <w:szCs w:val="24"/>
        </w:rPr>
        <w:t xml:space="preserve">r than the opportunity cost of </w:t>
      </w:r>
      <w:r w:rsidRPr="001837A5">
        <w:rPr>
          <w:rFonts w:ascii="Arial" w:hAnsi="Arial" w:cs="Arial"/>
          <w:color w:val="auto"/>
          <w:sz w:val="24"/>
          <w:szCs w:val="24"/>
        </w:rPr>
        <w:t>capital).</w:t>
      </w:r>
    </w:p>
    <w:p w:rsidR="00D70040" w:rsidRDefault="00D70040" w:rsidP="00D70040">
      <w:pPr>
        <w:pStyle w:val="eaplnm"/>
        <w:spacing w:before="0"/>
        <w:rPr>
          <w:rFonts w:cs="Arial"/>
          <w:color w:val="auto"/>
          <w:sz w:val="24"/>
          <w:szCs w:val="24"/>
        </w:rPr>
      </w:pPr>
      <w:r w:rsidRPr="001837A5">
        <w:rPr>
          <w:rFonts w:cs="Arial"/>
          <w:color w:val="auto"/>
          <w:sz w:val="24"/>
          <w:szCs w:val="24"/>
        </w:rPr>
        <w:t> </w:t>
      </w:r>
    </w:p>
    <w:p w:rsidR="00D70040" w:rsidRPr="001837A5" w:rsidRDefault="00D70040" w:rsidP="00D70040">
      <w:pPr>
        <w:pStyle w:val="eaplnm"/>
        <w:spacing w:before="0"/>
        <w:rPr>
          <w:rFonts w:ascii="Arial" w:hAnsi="Arial" w:cs="Arial"/>
          <w:color w:val="auto"/>
          <w:sz w:val="24"/>
          <w:szCs w:val="24"/>
        </w:rPr>
      </w:pPr>
    </w:p>
    <w:p w:rsidR="00D70040" w:rsidRDefault="00D70040" w:rsidP="00D70040">
      <w:pPr>
        <w:pStyle w:val="eaplnm"/>
        <w:spacing w:before="0"/>
        <w:rPr>
          <w:rFonts w:ascii="Arial" w:hAnsi="Arial" w:cs="Arial"/>
          <w:color w:val="auto"/>
          <w:sz w:val="24"/>
          <w:szCs w:val="24"/>
        </w:rPr>
      </w:pPr>
      <w:r w:rsidRPr="001837A5">
        <w:rPr>
          <w:rStyle w:val="bold"/>
          <w:rFonts w:cs="Arial"/>
          <w:b w:val="0"/>
          <w:bCs w:val="0"/>
          <w:color w:val="auto"/>
          <w:szCs w:val="24"/>
        </w:rPr>
        <w:t>5.</w:t>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1837A5">
        <w:rPr>
          <w:rStyle w:val="bold"/>
          <w:rFonts w:cs="Arial"/>
          <w:b w:val="0"/>
          <w:bCs w:val="0"/>
          <w:color w:val="auto"/>
          <w:szCs w:val="24"/>
        </w:rPr>
        <w:t>a</w:t>
      </w:r>
      <w:proofErr w:type="gramEnd"/>
      <w:r>
        <w:rPr>
          <w:rFonts w:ascii="Arial" w:hAnsi="Arial" w:cs="Arial"/>
          <w:color w:val="auto"/>
          <w:sz w:val="24"/>
          <w:szCs w:val="24"/>
        </w:rPr>
        <w:t>.</w:t>
      </w:r>
      <w:r w:rsidRPr="001837A5">
        <w:rPr>
          <w:rFonts w:ascii="Arial" w:hAnsi="Arial" w:cs="Arial"/>
          <w:color w:val="auto"/>
          <w:sz w:val="24"/>
          <w:szCs w:val="24"/>
        </w:rPr>
        <w:t xml:space="preserve"> </w:t>
      </w:r>
      <w:r>
        <w:rPr>
          <w:rFonts w:ascii="Arial" w:hAnsi="Arial" w:cs="Arial"/>
          <w:color w:val="auto"/>
          <w:sz w:val="24"/>
          <w:szCs w:val="24"/>
        </w:rPr>
        <w:tab/>
      </w:r>
      <w:r w:rsidRPr="001837A5">
        <w:rPr>
          <w:rFonts w:ascii="Arial" w:hAnsi="Arial" w:cs="Arial"/>
          <w:color w:val="auto"/>
          <w:sz w:val="24"/>
          <w:szCs w:val="24"/>
        </w:rPr>
        <w:t>Two</w:t>
      </w:r>
    </w:p>
    <w:p w:rsidR="00D70040" w:rsidRDefault="00D70040" w:rsidP="00D70040">
      <w:pPr>
        <w:pStyle w:val="eaplnm"/>
        <w:spacing w:before="0"/>
        <w:rPr>
          <w:rFonts w:ascii="Arial" w:hAnsi="Arial" w:cs="Arial"/>
          <w:color w:val="auto"/>
          <w:sz w:val="24"/>
          <w:szCs w:val="24"/>
        </w:rPr>
      </w:pPr>
    </w:p>
    <w:p w:rsidR="00D70040" w:rsidRDefault="00D70040" w:rsidP="00D70040">
      <w:pPr>
        <w:pStyle w:val="eaplnm"/>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1837A5">
        <w:rPr>
          <w:rStyle w:val="bold"/>
          <w:rFonts w:cs="Arial"/>
          <w:b w:val="0"/>
          <w:bCs w:val="0"/>
          <w:color w:val="auto"/>
          <w:szCs w:val="24"/>
        </w:rPr>
        <w:t>b</w:t>
      </w:r>
      <w:r>
        <w:rPr>
          <w:rFonts w:ascii="Arial" w:hAnsi="Arial" w:cs="Arial"/>
          <w:color w:val="auto"/>
          <w:sz w:val="24"/>
          <w:szCs w:val="24"/>
        </w:rPr>
        <w:t>.</w:t>
      </w:r>
      <w:r>
        <w:rPr>
          <w:rFonts w:ascii="Arial" w:hAnsi="Arial" w:cs="Arial"/>
          <w:color w:val="auto"/>
          <w:sz w:val="24"/>
          <w:szCs w:val="24"/>
        </w:rPr>
        <w:tab/>
      </w:r>
      <w:r w:rsidRPr="001837A5">
        <w:rPr>
          <w:rFonts w:ascii="Arial" w:hAnsi="Arial" w:cs="Arial"/>
          <w:color w:val="auto"/>
          <w:sz w:val="24"/>
          <w:szCs w:val="24"/>
        </w:rPr>
        <w:t xml:space="preserve"> -50% and +50%</w:t>
      </w:r>
    </w:p>
    <w:p w:rsidR="00D70040" w:rsidRDefault="00D70040" w:rsidP="00D70040">
      <w:pPr>
        <w:pStyle w:val="eaplnm"/>
        <w:spacing w:before="0"/>
        <w:rPr>
          <w:rFonts w:ascii="Arial" w:hAnsi="Arial" w:cs="Arial"/>
          <w:color w:val="auto"/>
          <w:sz w:val="24"/>
          <w:szCs w:val="24"/>
        </w:rPr>
      </w:pPr>
    </w:p>
    <w:p w:rsidR="00D70040" w:rsidRDefault="00D70040" w:rsidP="00D70040">
      <w:pPr>
        <w:pStyle w:val="eaplnm"/>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1837A5">
        <w:rPr>
          <w:rStyle w:val="bold"/>
          <w:rFonts w:cs="Arial"/>
          <w:b w:val="0"/>
          <w:bCs w:val="0"/>
          <w:color w:val="auto"/>
          <w:szCs w:val="24"/>
        </w:rPr>
        <w:t>c</w:t>
      </w:r>
      <w:r>
        <w:rPr>
          <w:rFonts w:ascii="Arial" w:hAnsi="Arial" w:cs="Arial"/>
          <w:color w:val="auto"/>
          <w:sz w:val="24"/>
          <w:szCs w:val="24"/>
        </w:rPr>
        <w:t xml:space="preserve">. </w:t>
      </w:r>
      <w:r w:rsidRPr="001837A5">
        <w:rPr>
          <w:rFonts w:ascii="Arial" w:hAnsi="Arial" w:cs="Arial"/>
          <w:color w:val="auto"/>
          <w:sz w:val="24"/>
          <w:szCs w:val="24"/>
        </w:rPr>
        <w:t xml:space="preserve"> </w:t>
      </w:r>
      <w:r>
        <w:rPr>
          <w:rFonts w:ascii="Arial" w:hAnsi="Arial" w:cs="Arial"/>
          <w:color w:val="auto"/>
          <w:sz w:val="24"/>
          <w:szCs w:val="24"/>
        </w:rPr>
        <w:tab/>
        <w:t>Y</w:t>
      </w:r>
      <w:r w:rsidRPr="001837A5">
        <w:rPr>
          <w:rFonts w:ascii="Arial" w:hAnsi="Arial" w:cs="Arial"/>
          <w:color w:val="auto"/>
          <w:sz w:val="24"/>
          <w:szCs w:val="24"/>
        </w:rPr>
        <w:t>es, NPV = +14.6.</w:t>
      </w:r>
    </w:p>
    <w:p w:rsidR="00D70040" w:rsidRPr="001837A5" w:rsidRDefault="00D70040" w:rsidP="00D70040">
      <w:pPr>
        <w:pStyle w:val="eaplnm"/>
        <w:spacing w:before="0"/>
        <w:rPr>
          <w:rFonts w:ascii="Arial" w:hAnsi="Arial" w:cs="Arial"/>
          <w:color w:val="auto"/>
          <w:sz w:val="24"/>
          <w:szCs w:val="24"/>
        </w:rPr>
      </w:pPr>
      <w:r>
        <w:rPr>
          <w:rFonts w:ascii="Arial" w:hAnsi="Arial" w:cs="Arial"/>
          <w:color w:val="auto"/>
          <w:sz w:val="24"/>
          <w:szCs w:val="24"/>
        </w:rPr>
        <w:br w:type="page"/>
      </w:r>
      <w:r w:rsidRPr="001837A5">
        <w:rPr>
          <w:rFonts w:cs="Arial"/>
          <w:color w:val="auto"/>
          <w:sz w:val="24"/>
          <w:szCs w:val="24"/>
        </w:rPr>
        <w:lastRenderedPageBreak/>
        <w:t> </w:t>
      </w:r>
    </w:p>
    <w:p w:rsidR="00D70040" w:rsidRPr="001837A5" w:rsidRDefault="00D70040" w:rsidP="00D70040">
      <w:pPr>
        <w:pStyle w:val="eaplnm"/>
        <w:spacing w:before="0"/>
        <w:ind w:left="720" w:hanging="720"/>
        <w:rPr>
          <w:rFonts w:ascii="Arial" w:hAnsi="Arial" w:cs="Arial"/>
          <w:color w:val="auto"/>
          <w:sz w:val="24"/>
          <w:szCs w:val="24"/>
        </w:rPr>
      </w:pPr>
      <w:r w:rsidRPr="001837A5">
        <w:rPr>
          <w:rStyle w:val="bold"/>
          <w:rFonts w:cs="Arial"/>
          <w:b w:val="0"/>
          <w:bCs w:val="0"/>
          <w:color w:val="auto"/>
          <w:szCs w:val="24"/>
        </w:rPr>
        <w:t>6.</w:t>
      </w:r>
      <w:r w:rsidRPr="001837A5">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1837A5">
        <w:rPr>
          <w:rFonts w:ascii="Arial" w:hAnsi="Arial" w:cs="Arial"/>
          <w:color w:val="auto"/>
          <w:sz w:val="24"/>
          <w:szCs w:val="24"/>
        </w:rPr>
        <w:t>The incremental flows from investing in Alpha rather than Beta are -200,000; +110,000; and 121,000. The IRR on the incremental cash flow is 10% (i.e., -200 + 110/1.10 + 121/1.10</w:t>
      </w:r>
      <w:r w:rsidRPr="001837A5">
        <w:rPr>
          <w:rStyle w:val="sup"/>
          <w:rFonts w:ascii="Arial" w:hAnsi="Arial" w:cs="Arial"/>
          <w:color w:val="auto"/>
          <w:sz w:val="24"/>
          <w:szCs w:val="24"/>
        </w:rPr>
        <w:t>2</w:t>
      </w:r>
      <w:r w:rsidRPr="001837A5">
        <w:rPr>
          <w:rFonts w:ascii="Arial" w:hAnsi="Arial" w:cs="Arial"/>
          <w:color w:val="auto"/>
          <w:sz w:val="24"/>
          <w:szCs w:val="24"/>
        </w:rPr>
        <w:t xml:space="preserve"> = 0). The </w:t>
      </w:r>
      <w:r w:rsidRPr="001837A5">
        <w:rPr>
          <w:rFonts w:ascii="Arial" w:hAnsi="Arial" w:cs="Arial"/>
          <w:color w:val="auto"/>
          <w:spacing w:val="-1"/>
          <w:sz w:val="24"/>
          <w:szCs w:val="24"/>
        </w:rPr>
        <w:t xml:space="preserve">IRR on Beta exceeds the cost of capital and so does </w:t>
      </w:r>
      <w:r w:rsidRPr="001837A5">
        <w:rPr>
          <w:rFonts w:ascii="Arial" w:hAnsi="Arial" w:cs="Arial"/>
          <w:color w:val="auto"/>
          <w:sz w:val="24"/>
          <w:szCs w:val="24"/>
        </w:rPr>
        <w:t>the IRR on the incremental investment in Alpha. Choose Alpha.</w:t>
      </w:r>
    </w:p>
    <w:p w:rsidR="00D70040" w:rsidRDefault="00D70040" w:rsidP="00D70040">
      <w:pPr>
        <w:pStyle w:val="eaplnm"/>
        <w:spacing w:before="0"/>
        <w:rPr>
          <w:rFonts w:cs="Arial"/>
          <w:color w:val="auto"/>
          <w:sz w:val="24"/>
          <w:szCs w:val="24"/>
        </w:rPr>
      </w:pPr>
      <w:r w:rsidRPr="001837A5">
        <w:rPr>
          <w:rFonts w:cs="Arial"/>
          <w:color w:val="auto"/>
          <w:sz w:val="24"/>
          <w:szCs w:val="24"/>
        </w:rPr>
        <w:t> </w:t>
      </w:r>
    </w:p>
    <w:p w:rsidR="00D70040" w:rsidRPr="001837A5" w:rsidRDefault="00D70040" w:rsidP="00D70040">
      <w:pPr>
        <w:pStyle w:val="eaplnm"/>
        <w:spacing w:before="0"/>
        <w:rPr>
          <w:rFonts w:ascii="Arial" w:hAnsi="Arial" w:cs="Arial"/>
          <w:color w:val="auto"/>
          <w:sz w:val="24"/>
          <w:szCs w:val="24"/>
        </w:rPr>
      </w:pPr>
    </w:p>
    <w:p w:rsidR="00D70040" w:rsidRDefault="00D70040" w:rsidP="00D70040">
      <w:pPr>
        <w:pStyle w:val="eaplnm"/>
        <w:spacing w:before="0"/>
        <w:rPr>
          <w:rFonts w:ascii="Arial" w:hAnsi="Arial" w:cs="Arial"/>
          <w:color w:val="auto"/>
          <w:sz w:val="24"/>
          <w:szCs w:val="24"/>
        </w:rPr>
      </w:pPr>
      <w:r w:rsidRPr="001837A5">
        <w:rPr>
          <w:rStyle w:val="bold"/>
          <w:rFonts w:cs="Arial"/>
          <w:b w:val="0"/>
          <w:bCs w:val="0"/>
          <w:color w:val="auto"/>
          <w:szCs w:val="24"/>
        </w:rPr>
        <w:t>7.</w:t>
      </w:r>
      <w:r w:rsidRPr="001837A5">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t>1, 2, 4, and 6</w:t>
      </w:r>
    </w:p>
    <w:p w:rsidR="00D70040" w:rsidRPr="001837A5" w:rsidRDefault="00D70040" w:rsidP="00D70040">
      <w:pPr>
        <w:pStyle w:val="eaplnm"/>
        <w:spacing w:before="0"/>
        <w:rPr>
          <w:rFonts w:ascii="Arial" w:hAnsi="Arial" w:cs="Arial"/>
          <w:color w:val="auto"/>
          <w:sz w:val="24"/>
          <w:szCs w:val="24"/>
        </w:rPr>
      </w:pPr>
    </w:p>
    <w:p w:rsidR="00D70040" w:rsidRDefault="00D70040" w:rsidP="00D70040"/>
    <w:p w:rsidR="00D70040" w:rsidRDefault="00D70040" w:rsidP="00D70040">
      <w:pPr>
        <w:pStyle w:val="Header"/>
        <w:tabs>
          <w:tab w:val="clear" w:pos="4320"/>
          <w:tab w:val="clear" w:pos="8640"/>
          <w:tab w:val="left" w:pos="1440"/>
        </w:tabs>
        <w:spacing w:after="120"/>
        <w:ind w:left="720" w:hanging="720"/>
        <w:rPr>
          <w:noProof/>
        </w:rPr>
      </w:pPr>
      <w:r>
        <w:t>8.</w:t>
      </w:r>
      <w:r>
        <w:tab/>
      </w:r>
      <w:proofErr w:type="gramStart"/>
      <w:r>
        <w:t>a</w:t>
      </w:r>
      <w:proofErr w:type="gramEnd"/>
      <w:r>
        <w:t>.</w:t>
      </w:r>
      <w:r>
        <w:tab/>
      </w:r>
      <w:r w:rsidRPr="00AA3E43">
        <w:rPr>
          <w:noProof/>
          <w:position w:val="-30"/>
        </w:rPr>
        <w:object w:dxaOrig="3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33.75pt" o:ole="" fillcolor="window">
            <v:imagedata r:id="rId6" o:title=""/>
          </v:shape>
          <o:OLEObject Type="Embed" ProgID="Equation.3" ShapeID="_x0000_i1025" DrawAspect="Content" ObjectID="_1355989892" r:id="rId7"/>
        </w:object>
      </w:r>
    </w:p>
    <w:p w:rsidR="00D70040" w:rsidRDefault="00D70040" w:rsidP="00D70040">
      <w:pPr>
        <w:tabs>
          <w:tab w:val="left" w:pos="1440"/>
        </w:tabs>
        <w:spacing w:after="120"/>
        <w:ind w:left="720" w:firstLine="720"/>
      </w:pPr>
      <w:r w:rsidRPr="00AA3E43">
        <w:rPr>
          <w:noProof/>
          <w:position w:val="-30"/>
        </w:rPr>
        <w:object w:dxaOrig="8000" w:dyaOrig="680">
          <v:shape id="_x0000_i1026" type="#_x0000_t75" style="width:399.75pt;height:33.75pt" o:ole="" fillcolor="window">
            <v:imagedata r:id="rId8" o:title=""/>
          </v:shape>
          <o:OLEObject Type="Embed" ProgID="Equation.3" ShapeID="_x0000_i1026" DrawAspect="Content" ObjectID="_1355989893" r:id="rId9"/>
        </w:object>
      </w:r>
    </w:p>
    <w:p w:rsidR="00D70040" w:rsidRDefault="00D70040" w:rsidP="00D70040">
      <w:pPr>
        <w:spacing w:line="480" w:lineRule="auto"/>
        <w:ind w:left="720" w:firstLine="720"/>
      </w:pPr>
      <w:r w:rsidRPr="00AA3E43">
        <w:rPr>
          <w:noProof/>
          <w:position w:val="-30"/>
        </w:rPr>
        <w:object w:dxaOrig="6740" w:dyaOrig="680">
          <v:shape id="_x0000_i1027" type="#_x0000_t75" style="width:336.75pt;height:33.75pt" o:ole="" fillcolor="window">
            <v:imagedata r:id="rId10" o:title=""/>
          </v:shape>
          <o:OLEObject Type="Embed" ProgID="Equation.3" ShapeID="_x0000_i1027" DrawAspect="Content" ObjectID="_1355989894" r:id="rId11"/>
        </w:object>
      </w:r>
    </w:p>
    <w:p w:rsidR="00D70040" w:rsidRDefault="00D70040" w:rsidP="00D70040">
      <w:pPr>
        <w:numPr>
          <w:ilvl w:val="0"/>
          <w:numId w:val="1"/>
        </w:numPr>
        <w:tabs>
          <w:tab w:val="clear" w:pos="1440"/>
        </w:tabs>
      </w:pPr>
      <w:r>
        <w:t>Payback</w:t>
      </w:r>
      <w:r>
        <w:rPr>
          <w:vertAlign w:val="subscript"/>
        </w:rPr>
        <w:t xml:space="preserve"> A</w:t>
      </w:r>
      <w:r>
        <w:t xml:space="preserve"> = 1 year</w:t>
      </w:r>
    </w:p>
    <w:p w:rsidR="00D70040" w:rsidRDefault="00D70040" w:rsidP="00D70040">
      <w:pPr>
        <w:ind w:left="1440"/>
      </w:pPr>
      <w:r>
        <w:t>Payback</w:t>
      </w:r>
      <w:r>
        <w:rPr>
          <w:vertAlign w:val="subscript"/>
        </w:rPr>
        <w:t xml:space="preserve"> B</w:t>
      </w:r>
      <w:r>
        <w:t xml:space="preserve"> = 2 years</w:t>
      </w:r>
    </w:p>
    <w:p w:rsidR="00D70040" w:rsidRDefault="00D70040" w:rsidP="00D70040">
      <w:pPr>
        <w:spacing w:line="480" w:lineRule="auto"/>
        <w:ind w:left="1440"/>
      </w:pPr>
      <w:r>
        <w:t>Payback</w:t>
      </w:r>
      <w:r>
        <w:rPr>
          <w:vertAlign w:val="subscript"/>
        </w:rPr>
        <w:t xml:space="preserve"> C</w:t>
      </w:r>
      <w:r>
        <w:t xml:space="preserve"> = 4 years</w:t>
      </w:r>
    </w:p>
    <w:p w:rsidR="00D70040" w:rsidRDefault="00D70040" w:rsidP="00D70040">
      <w:pPr>
        <w:numPr>
          <w:ilvl w:val="0"/>
          <w:numId w:val="1"/>
        </w:numPr>
        <w:tabs>
          <w:tab w:val="clear" w:pos="1440"/>
        </w:tabs>
      </w:pPr>
      <w:r>
        <w:t>A and B</w:t>
      </w:r>
    </w:p>
    <w:p w:rsidR="00D70040" w:rsidRDefault="00D70040" w:rsidP="00D70040"/>
    <w:p w:rsidR="00D70040" w:rsidRDefault="00D70040" w:rsidP="00D70040">
      <w:pPr>
        <w:pStyle w:val="Header"/>
        <w:tabs>
          <w:tab w:val="clear" w:pos="4320"/>
          <w:tab w:val="clear" w:pos="8640"/>
          <w:tab w:val="left" w:pos="1440"/>
        </w:tabs>
        <w:spacing w:after="120"/>
        <w:ind w:left="720"/>
        <w:rPr>
          <w:noProof/>
        </w:rPr>
      </w:pPr>
      <w:proofErr w:type="gramStart"/>
      <w:r>
        <w:t>d</w:t>
      </w:r>
      <w:proofErr w:type="gramEnd"/>
      <w:r>
        <w:t>.</w:t>
      </w:r>
      <w:r>
        <w:tab/>
      </w:r>
      <w:r w:rsidRPr="00AA3E43">
        <w:rPr>
          <w:noProof/>
          <w:position w:val="-30"/>
        </w:rPr>
        <w:object w:dxaOrig="2659" w:dyaOrig="680">
          <v:shape id="_x0000_i1028" type="#_x0000_t75" style="width:132.75pt;height:33.75pt" o:ole="" fillcolor="window">
            <v:imagedata r:id="rId12" o:title=""/>
          </v:shape>
          <o:OLEObject Type="Embed" ProgID="Equation.3" ShapeID="_x0000_i1028" DrawAspect="Content" ObjectID="_1355989895" r:id="rId13"/>
        </w:object>
      </w:r>
    </w:p>
    <w:p w:rsidR="00D70040" w:rsidRDefault="00D70040" w:rsidP="00D70040">
      <w:pPr>
        <w:spacing w:after="120"/>
        <w:ind w:left="1440" w:right="-450"/>
      </w:pPr>
      <w:r>
        <w:t>The present value of the cash inflows for Project A never recovers the initial outlay for the project, which is always the case for a negative NPV project.</w:t>
      </w:r>
    </w:p>
    <w:p w:rsidR="00D70040" w:rsidRDefault="00D70040" w:rsidP="00D70040">
      <w:pPr>
        <w:spacing w:after="120"/>
        <w:ind w:left="1440"/>
      </w:pPr>
      <w:r>
        <w:t>The present values of the cash inflows for Project B are shown in the third row of the table below, and the cumulative net present values are shown in the fourth row:</w:t>
      </w:r>
    </w:p>
    <w:tbl>
      <w:tblPr>
        <w:tblW w:w="8100" w:type="dxa"/>
        <w:tblInd w:w="1548" w:type="dxa"/>
        <w:tblLayout w:type="fixed"/>
        <w:tblLook w:val="01E0"/>
      </w:tblPr>
      <w:tblGrid>
        <w:gridCol w:w="1350"/>
        <w:gridCol w:w="1350"/>
        <w:gridCol w:w="1350"/>
        <w:gridCol w:w="1350"/>
        <w:gridCol w:w="1350"/>
        <w:gridCol w:w="1350"/>
      </w:tblGrid>
      <w:tr w:rsidR="00D70040" w:rsidTr="00217ED2">
        <w:tc>
          <w:tcPr>
            <w:tcW w:w="1350" w:type="dxa"/>
            <w:tcBorders>
              <w:bottom w:val="single" w:sz="4" w:space="0" w:color="auto"/>
            </w:tcBorders>
            <w:vAlign w:val="center"/>
          </w:tcPr>
          <w:p w:rsidR="00D70040" w:rsidRPr="003462FA" w:rsidRDefault="00D70040" w:rsidP="00217ED2">
            <w:pPr>
              <w:spacing w:after="120"/>
              <w:ind w:left="-108" w:right="-63"/>
              <w:jc w:val="center"/>
              <w:rPr>
                <w:szCs w:val="24"/>
              </w:rPr>
            </w:pPr>
            <w:r>
              <w:t>C</w:t>
            </w:r>
            <w:r>
              <w:rPr>
                <w:szCs w:val="24"/>
                <w:vertAlign w:val="subscript"/>
              </w:rPr>
              <w:t>0</w:t>
            </w:r>
          </w:p>
        </w:tc>
        <w:tc>
          <w:tcPr>
            <w:tcW w:w="1350" w:type="dxa"/>
            <w:tcBorders>
              <w:bottom w:val="single" w:sz="4" w:space="0" w:color="auto"/>
            </w:tcBorders>
            <w:vAlign w:val="center"/>
          </w:tcPr>
          <w:p w:rsidR="00D70040" w:rsidRDefault="00D70040" w:rsidP="00217ED2">
            <w:pPr>
              <w:spacing w:after="120"/>
              <w:ind w:left="-153" w:right="-108"/>
              <w:jc w:val="center"/>
            </w:pPr>
            <w:r>
              <w:t>C</w:t>
            </w:r>
            <w:r>
              <w:rPr>
                <w:szCs w:val="24"/>
                <w:vertAlign w:val="subscript"/>
              </w:rPr>
              <w:t>1</w:t>
            </w:r>
          </w:p>
        </w:tc>
        <w:tc>
          <w:tcPr>
            <w:tcW w:w="1350" w:type="dxa"/>
            <w:tcBorders>
              <w:bottom w:val="single" w:sz="4" w:space="0" w:color="auto"/>
            </w:tcBorders>
            <w:vAlign w:val="center"/>
          </w:tcPr>
          <w:p w:rsidR="00D70040" w:rsidRDefault="00D70040" w:rsidP="00217ED2">
            <w:pPr>
              <w:spacing w:after="120"/>
              <w:ind w:left="-108" w:right="-63"/>
              <w:jc w:val="center"/>
            </w:pPr>
            <w:r>
              <w:t>C</w:t>
            </w:r>
            <w:r>
              <w:rPr>
                <w:szCs w:val="24"/>
                <w:vertAlign w:val="subscript"/>
              </w:rPr>
              <w:t>2</w:t>
            </w:r>
          </w:p>
        </w:tc>
        <w:tc>
          <w:tcPr>
            <w:tcW w:w="1350" w:type="dxa"/>
            <w:tcBorders>
              <w:bottom w:val="single" w:sz="4" w:space="0" w:color="auto"/>
            </w:tcBorders>
            <w:vAlign w:val="center"/>
          </w:tcPr>
          <w:p w:rsidR="00D70040" w:rsidRDefault="00D70040" w:rsidP="00217ED2">
            <w:pPr>
              <w:spacing w:after="120"/>
              <w:ind w:left="-63" w:right="-108"/>
              <w:jc w:val="center"/>
            </w:pPr>
            <w:r>
              <w:t>C</w:t>
            </w:r>
            <w:r>
              <w:rPr>
                <w:szCs w:val="24"/>
                <w:vertAlign w:val="subscript"/>
              </w:rPr>
              <w:t>3</w:t>
            </w:r>
          </w:p>
        </w:tc>
        <w:tc>
          <w:tcPr>
            <w:tcW w:w="1350" w:type="dxa"/>
            <w:tcBorders>
              <w:bottom w:val="single" w:sz="4" w:space="0" w:color="auto"/>
            </w:tcBorders>
            <w:vAlign w:val="center"/>
          </w:tcPr>
          <w:p w:rsidR="00D70040" w:rsidRDefault="00D70040" w:rsidP="00217ED2">
            <w:pPr>
              <w:spacing w:after="120"/>
              <w:ind w:left="-18" w:right="-63"/>
              <w:jc w:val="center"/>
            </w:pPr>
            <w:r>
              <w:t>C</w:t>
            </w:r>
            <w:r>
              <w:rPr>
                <w:szCs w:val="24"/>
                <w:vertAlign w:val="subscript"/>
              </w:rPr>
              <w:t>4</w:t>
            </w:r>
          </w:p>
        </w:tc>
        <w:tc>
          <w:tcPr>
            <w:tcW w:w="1350" w:type="dxa"/>
            <w:tcBorders>
              <w:bottom w:val="single" w:sz="4" w:space="0" w:color="auto"/>
            </w:tcBorders>
            <w:vAlign w:val="center"/>
          </w:tcPr>
          <w:p w:rsidR="00D70040" w:rsidRDefault="00D70040" w:rsidP="00217ED2">
            <w:pPr>
              <w:spacing w:after="120"/>
              <w:ind w:left="-63" w:right="-108"/>
              <w:jc w:val="center"/>
            </w:pPr>
            <w:r>
              <w:t>C</w:t>
            </w:r>
            <w:r>
              <w:rPr>
                <w:szCs w:val="24"/>
                <w:vertAlign w:val="subscript"/>
              </w:rPr>
              <w:t>5</w:t>
            </w:r>
          </w:p>
        </w:tc>
      </w:tr>
      <w:tr w:rsidR="00D70040" w:rsidTr="00217ED2">
        <w:trPr>
          <w:trHeight w:hRule="exact" w:val="288"/>
        </w:trPr>
        <w:tc>
          <w:tcPr>
            <w:tcW w:w="1350" w:type="dxa"/>
            <w:tcBorders>
              <w:top w:val="single" w:sz="4" w:space="0" w:color="auto"/>
            </w:tcBorders>
          </w:tcPr>
          <w:p w:rsidR="00D70040" w:rsidRDefault="00D70040" w:rsidP="00217ED2">
            <w:pPr>
              <w:spacing w:after="120"/>
              <w:ind w:left="-108" w:right="-63"/>
              <w:jc w:val="center"/>
            </w:pPr>
            <w:r>
              <w:t>-2,000.00</w:t>
            </w:r>
          </w:p>
        </w:tc>
        <w:tc>
          <w:tcPr>
            <w:tcW w:w="1350" w:type="dxa"/>
            <w:tcBorders>
              <w:top w:val="single" w:sz="4" w:space="0" w:color="auto"/>
            </w:tcBorders>
          </w:tcPr>
          <w:p w:rsidR="00D70040" w:rsidRDefault="00D70040" w:rsidP="00217ED2">
            <w:pPr>
              <w:tabs>
                <w:tab w:val="decimal" w:pos="807"/>
              </w:tabs>
              <w:spacing w:after="120"/>
              <w:ind w:left="-153" w:right="-108"/>
            </w:pPr>
            <w:r>
              <w:t>+1,000.00</w:t>
            </w:r>
          </w:p>
        </w:tc>
        <w:tc>
          <w:tcPr>
            <w:tcW w:w="1350" w:type="dxa"/>
            <w:tcBorders>
              <w:top w:val="single" w:sz="4" w:space="0" w:color="auto"/>
            </w:tcBorders>
          </w:tcPr>
          <w:p w:rsidR="00D70040" w:rsidRDefault="00D70040" w:rsidP="00217ED2">
            <w:pPr>
              <w:tabs>
                <w:tab w:val="decimal" w:pos="800"/>
              </w:tabs>
              <w:spacing w:after="120"/>
              <w:ind w:left="-108" w:right="-63"/>
            </w:pPr>
            <w:r>
              <w:t>+1,000.00</w:t>
            </w:r>
          </w:p>
        </w:tc>
        <w:tc>
          <w:tcPr>
            <w:tcW w:w="1350" w:type="dxa"/>
            <w:tcBorders>
              <w:top w:val="single" w:sz="4" w:space="0" w:color="auto"/>
            </w:tcBorders>
          </w:tcPr>
          <w:p w:rsidR="00D70040" w:rsidRDefault="00D70040" w:rsidP="00217ED2">
            <w:pPr>
              <w:tabs>
                <w:tab w:val="decimal" w:pos="800"/>
              </w:tabs>
              <w:spacing w:after="120"/>
              <w:ind w:left="-63" w:right="-108"/>
            </w:pPr>
            <w:r>
              <w:t>+4,000.00</w:t>
            </w:r>
          </w:p>
        </w:tc>
        <w:tc>
          <w:tcPr>
            <w:tcW w:w="1350" w:type="dxa"/>
            <w:tcBorders>
              <w:top w:val="single" w:sz="4" w:space="0" w:color="auto"/>
            </w:tcBorders>
          </w:tcPr>
          <w:p w:rsidR="00D70040" w:rsidRDefault="00D70040" w:rsidP="00217ED2">
            <w:pPr>
              <w:tabs>
                <w:tab w:val="decimal" w:pos="890"/>
              </w:tabs>
              <w:spacing w:after="120"/>
              <w:ind w:left="-18" w:right="-63"/>
            </w:pPr>
            <w:r>
              <w:t>+1,000.00</w:t>
            </w:r>
          </w:p>
        </w:tc>
        <w:tc>
          <w:tcPr>
            <w:tcW w:w="1350" w:type="dxa"/>
            <w:tcBorders>
              <w:top w:val="single" w:sz="4" w:space="0" w:color="auto"/>
            </w:tcBorders>
          </w:tcPr>
          <w:p w:rsidR="00D70040" w:rsidRDefault="00D70040" w:rsidP="00217ED2">
            <w:pPr>
              <w:tabs>
                <w:tab w:val="decimal" w:pos="895"/>
              </w:tabs>
              <w:spacing w:after="120"/>
              <w:ind w:left="-63" w:right="-108"/>
            </w:pPr>
            <w:r>
              <w:t>+1,000.00</w:t>
            </w:r>
          </w:p>
        </w:tc>
      </w:tr>
      <w:tr w:rsidR="00D70040" w:rsidTr="00217ED2">
        <w:trPr>
          <w:trHeight w:hRule="exact" w:val="288"/>
        </w:trPr>
        <w:tc>
          <w:tcPr>
            <w:tcW w:w="1350" w:type="dxa"/>
          </w:tcPr>
          <w:p w:rsidR="00D70040" w:rsidRDefault="00D70040" w:rsidP="00217ED2">
            <w:pPr>
              <w:spacing w:after="120"/>
              <w:ind w:left="-108" w:right="-63"/>
              <w:jc w:val="center"/>
            </w:pPr>
            <w:r>
              <w:t>-2,000.00</w:t>
            </w:r>
          </w:p>
        </w:tc>
        <w:tc>
          <w:tcPr>
            <w:tcW w:w="1350" w:type="dxa"/>
          </w:tcPr>
          <w:p w:rsidR="00D70040" w:rsidRDefault="00D70040" w:rsidP="00217ED2">
            <w:pPr>
              <w:tabs>
                <w:tab w:val="decimal" w:pos="807"/>
              </w:tabs>
              <w:spacing w:after="120"/>
              <w:ind w:left="-153" w:right="-108"/>
            </w:pPr>
            <w:r>
              <w:t>909.09</w:t>
            </w:r>
          </w:p>
        </w:tc>
        <w:tc>
          <w:tcPr>
            <w:tcW w:w="1350" w:type="dxa"/>
          </w:tcPr>
          <w:p w:rsidR="00D70040" w:rsidRDefault="00D70040" w:rsidP="00217ED2">
            <w:pPr>
              <w:tabs>
                <w:tab w:val="decimal" w:pos="800"/>
              </w:tabs>
              <w:spacing w:after="120"/>
              <w:ind w:left="-108" w:right="-63"/>
            </w:pPr>
            <w:r>
              <w:t>826.45</w:t>
            </w:r>
          </w:p>
        </w:tc>
        <w:tc>
          <w:tcPr>
            <w:tcW w:w="1350" w:type="dxa"/>
          </w:tcPr>
          <w:p w:rsidR="00D70040" w:rsidRDefault="00D70040" w:rsidP="00217ED2">
            <w:pPr>
              <w:tabs>
                <w:tab w:val="decimal" w:pos="800"/>
              </w:tabs>
              <w:spacing w:after="120"/>
              <w:ind w:left="-63" w:right="-108"/>
            </w:pPr>
            <w:r>
              <w:t>3,005.26</w:t>
            </w:r>
          </w:p>
        </w:tc>
        <w:tc>
          <w:tcPr>
            <w:tcW w:w="1350" w:type="dxa"/>
          </w:tcPr>
          <w:p w:rsidR="00D70040" w:rsidRDefault="00D70040" w:rsidP="00217ED2">
            <w:pPr>
              <w:tabs>
                <w:tab w:val="decimal" w:pos="890"/>
              </w:tabs>
              <w:spacing w:after="120"/>
              <w:ind w:left="-18" w:right="-63"/>
            </w:pPr>
            <w:r>
              <w:t>683.01</w:t>
            </w:r>
          </w:p>
        </w:tc>
        <w:tc>
          <w:tcPr>
            <w:tcW w:w="1350" w:type="dxa"/>
          </w:tcPr>
          <w:p w:rsidR="00D70040" w:rsidRDefault="00D70040" w:rsidP="00217ED2">
            <w:pPr>
              <w:tabs>
                <w:tab w:val="decimal" w:pos="895"/>
              </w:tabs>
              <w:spacing w:after="120"/>
              <w:ind w:left="-63" w:right="-108"/>
            </w:pPr>
            <w:r>
              <w:t>620.92</w:t>
            </w:r>
          </w:p>
        </w:tc>
      </w:tr>
      <w:tr w:rsidR="00D70040" w:rsidTr="00217ED2">
        <w:trPr>
          <w:trHeight w:hRule="exact" w:val="288"/>
        </w:trPr>
        <w:tc>
          <w:tcPr>
            <w:tcW w:w="1350" w:type="dxa"/>
          </w:tcPr>
          <w:p w:rsidR="00D70040" w:rsidRDefault="00D70040" w:rsidP="00217ED2">
            <w:pPr>
              <w:spacing w:after="120"/>
              <w:ind w:left="-108" w:right="-63"/>
              <w:jc w:val="center"/>
            </w:pPr>
          </w:p>
        </w:tc>
        <w:tc>
          <w:tcPr>
            <w:tcW w:w="1350" w:type="dxa"/>
          </w:tcPr>
          <w:p w:rsidR="00D70040" w:rsidRDefault="00D70040" w:rsidP="00217ED2">
            <w:pPr>
              <w:tabs>
                <w:tab w:val="decimal" w:pos="807"/>
              </w:tabs>
              <w:spacing w:after="120"/>
              <w:ind w:left="-153" w:right="-108"/>
            </w:pPr>
            <w:r>
              <w:t>-1,090.91</w:t>
            </w:r>
          </w:p>
        </w:tc>
        <w:tc>
          <w:tcPr>
            <w:tcW w:w="1350" w:type="dxa"/>
          </w:tcPr>
          <w:p w:rsidR="00D70040" w:rsidRDefault="00D70040" w:rsidP="00217ED2">
            <w:pPr>
              <w:tabs>
                <w:tab w:val="decimal" w:pos="800"/>
              </w:tabs>
              <w:spacing w:after="120"/>
              <w:ind w:left="-108" w:right="-63"/>
            </w:pPr>
            <w:r>
              <w:t>-264.46</w:t>
            </w:r>
          </w:p>
        </w:tc>
        <w:tc>
          <w:tcPr>
            <w:tcW w:w="1350" w:type="dxa"/>
          </w:tcPr>
          <w:p w:rsidR="00D70040" w:rsidRDefault="00D70040" w:rsidP="00217ED2">
            <w:pPr>
              <w:tabs>
                <w:tab w:val="decimal" w:pos="800"/>
              </w:tabs>
              <w:spacing w:after="120"/>
              <w:ind w:left="-63" w:right="-108"/>
            </w:pPr>
            <w:r>
              <w:t>2,740.80</w:t>
            </w:r>
          </w:p>
        </w:tc>
        <w:tc>
          <w:tcPr>
            <w:tcW w:w="1350" w:type="dxa"/>
          </w:tcPr>
          <w:p w:rsidR="00D70040" w:rsidRDefault="00D70040" w:rsidP="00217ED2">
            <w:pPr>
              <w:tabs>
                <w:tab w:val="decimal" w:pos="890"/>
              </w:tabs>
              <w:spacing w:after="120"/>
              <w:ind w:left="-18" w:right="-63"/>
            </w:pPr>
            <w:r>
              <w:t>3,423.81</w:t>
            </w:r>
          </w:p>
        </w:tc>
        <w:tc>
          <w:tcPr>
            <w:tcW w:w="1350" w:type="dxa"/>
          </w:tcPr>
          <w:p w:rsidR="00D70040" w:rsidRDefault="00D70040" w:rsidP="00217ED2">
            <w:pPr>
              <w:tabs>
                <w:tab w:val="decimal" w:pos="895"/>
              </w:tabs>
              <w:spacing w:after="120"/>
              <w:ind w:left="-63" w:right="-108"/>
            </w:pPr>
            <w:r>
              <w:t>4,044.73</w:t>
            </w:r>
          </w:p>
        </w:tc>
      </w:tr>
    </w:tbl>
    <w:p w:rsidR="00D70040" w:rsidRDefault="00D70040" w:rsidP="00D70040">
      <w:pPr>
        <w:spacing w:before="120" w:after="120"/>
        <w:ind w:left="1440"/>
      </w:pPr>
      <w:r>
        <w:t>Since the cumulative NPV turns positive between year two and year three, the discounted payback period is:</w:t>
      </w:r>
    </w:p>
    <w:p w:rsidR="00D70040" w:rsidRDefault="00D70040" w:rsidP="00D70040">
      <w:pPr>
        <w:pStyle w:val="Header"/>
        <w:tabs>
          <w:tab w:val="clear" w:pos="4320"/>
          <w:tab w:val="clear" w:pos="8640"/>
        </w:tabs>
        <w:ind w:left="2160"/>
        <w:rPr>
          <w:noProof/>
        </w:rPr>
      </w:pPr>
      <w:r w:rsidRPr="00257000">
        <w:rPr>
          <w:noProof/>
          <w:position w:val="-28"/>
        </w:rPr>
        <w:object w:dxaOrig="2799" w:dyaOrig="660">
          <v:shape id="_x0000_i1029" type="#_x0000_t75" style="width:140.25pt;height:33pt" o:ole="" fillcolor="window">
            <v:imagedata r:id="rId14" o:title=""/>
          </v:shape>
          <o:OLEObject Type="Embed" ProgID="Equation.3" ShapeID="_x0000_i1029" DrawAspect="Content" ObjectID="_1355989896" r:id="rId15"/>
        </w:object>
      </w:r>
    </w:p>
    <w:p w:rsidR="00D70040" w:rsidRDefault="00D70040" w:rsidP="00D70040">
      <w:pPr>
        <w:pStyle w:val="Header"/>
        <w:tabs>
          <w:tab w:val="clear" w:pos="4320"/>
          <w:tab w:val="clear" w:pos="8640"/>
        </w:tabs>
        <w:ind w:left="2160"/>
      </w:pPr>
      <w:r>
        <w:rPr>
          <w:noProof/>
        </w:rPr>
        <w:br w:type="page"/>
      </w:r>
      <w:r>
        <w:lastRenderedPageBreak/>
        <w:t>The present values of the cash inflows for Project C are shown in the third row of the table below, and the cumulative net present values are shown in the fourth row:</w:t>
      </w:r>
    </w:p>
    <w:tbl>
      <w:tblPr>
        <w:tblW w:w="8190" w:type="dxa"/>
        <w:tblInd w:w="1548" w:type="dxa"/>
        <w:tblLayout w:type="fixed"/>
        <w:tblLook w:val="01E0"/>
      </w:tblPr>
      <w:tblGrid>
        <w:gridCol w:w="1365"/>
        <w:gridCol w:w="1365"/>
        <w:gridCol w:w="1365"/>
        <w:gridCol w:w="1365"/>
        <w:gridCol w:w="1365"/>
        <w:gridCol w:w="1365"/>
      </w:tblGrid>
      <w:tr w:rsidR="00D70040" w:rsidTr="00217ED2">
        <w:tc>
          <w:tcPr>
            <w:tcW w:w="1365" w:type="dxa"/>
            <w:tcBorders>
              <w:bottom w:val="single" w:sz="4" w:space="0" w:color="auto"/>
            </w:tcBorders>
            <w:vAlign w:val="center"/>
          </w:tcPr>
          <w:p w:rsidR="00D70040" w:rsidRPr="003462FA" w:rsidRDefault="00D70040" w:rsidP="00217ED2">
            <w:pPr>
              <w:spacing w:after="120"/>
              <w:ind w:left="-18" w:right="-153"/>
              <w:jc w:val="center"/>
              <w:rPr>
                <w:szCs w:val="24"/>
              </w:rPr>
            </w:pPr>
            <w:r>
              <w:t>C</w:t>
            </w:r>
            <w:r>
              <w:rPr>
                <w:szCs w:val="24"/>
                <w:vertAlign w:val="subscript"/>
              </w:rPr>
              <w:t>0</w:t>
            </w:r>
          </w:p>
        </w:tc>
        <w:tc>
          <w:tcPr>
            <w:tcW w:w="1365" w:type="dxa"/>
            <w:tcBorders>
              <w:bottom w:val="single" w:sz="4" w:space="0" w:color="auto"/>
            </w:tcBorders>
            <w:vAlign w:val="center"/>
          </w:tcPr>
          <w:p w:rsidR="00D70040" w:rsidRDefault="00D70040" w:rsidP="00217ED2">
            <w:pPr>
              <w:spacing w:after="120"/>
              <w:ind w:left="27" w:right="-108"/>
              <w:jc w:val="center"/>
            </w:pPr>
            <w:r>
              <w:t>C</w:t>
            </w:r>
            <w:r>
              <w:rPr>
                <w:szCs w:val="24"/>
                <w:vertAlign w:val="subscript"/>
              </w:rPr>
              <w:t>1</w:t>
            </w:r>
          </w:p>
        </w:tc>
        <w:tc>
          <w:tcPr>
            <w:tcW w:w="1365" w:type="dxa"/>
            <w:tcBorders>
              <w:bottom w:val="single" w:sz="4" w:space="0" w:color="auto"/>
            </w:tcBorders>
            <w:vAlign w:val="center"/>
          </w:tcPr>
          <w:p w:rsidR="00D70040" w:rsidRDefault="00D70040" w:rsidP="00217ED2">
            <w:pPr>
              <w:spacing w:after="120"/>
              <w:ind w:left="-108" w:right="-153"/>
              <w:jc w:val="center"/>
            </w:pPr>
            <w:r>
              <w:t>C</w:t>
            </w:r>
            <w:r>
              <w:rPr>
                <w:szCs w:val="24"/>
                <w:vertAlign w:val="subscript"/>
              </w:rPr>
              <w:t>2</w:t>
            </w:r>
          </w:p>
        </w:tc>
        <w:tc>
          <w:tcPr>
            <w:tcW w:w="1365" w:type="dxa"/>
            <w:tcBorders>
              <w:bottom w:val="single" w:sz="4" w:space="0" w:color="auto"/>
            </w:tcBorders>
            <w:vAlign w:val="center"/>
          </w:tcPr>
          <w:p w:rsidR="00D70040" w:rsidRDefault="00D70040" w:rsidP="00217ED2">
            <w:pPr>
              <w:spacing w:after="120"/>
              <w:ind w:left="27" w:right="-108"/>
              <w:jc w:val="center"/>
            </w:pPr>
            <w:r>
              <w:t>C</w:t>
            </w:r>
            <w:r>
              <w:rPr>
                <w:szCs w:val="24"/>
                <w:vertAlign w:val="subscript"/>
              </w:rPr>
              <w:t>3</w:t>
            </w:r>
          </w:p>
        </w:tc>
        <w:tc>
          <w:tcPr>
            <w:tcW w:w="1365" w:type="dxa"/>
            <w:tcBorders>
              <w:bottom w:val="single" w:sz="4" w:space="0" w:color="auto"/>
            </w:tcBorders>
            <w:vAlign w:val="center"/>
          </w:tcPr>
          <w:p w:rsidR="00D70040" w:rsidRDefault="00D70040" w:rsidP="00217ED2">
            <w:pPr>
              <w:spacing w:after="120"/>
              <w:ind w:left="-108" w:right="-153"/>
              <w:jc w:val="center"/>
            </w:pPr>
            <w:r>
              <w:t>C</w:t>
            </w:r>
            <w:r>
              <w:rPr>
                <w:szCs w:val="24"/>
                <w:vertAlign w:val="subscript"/>
              </w:rPr>
              <w:t>4</w:t>
            </w:r>
          </w:p>
        </w:tc>
        <w:tc>
          <w:tcPr>
            <w:tcW w:w="1365" w:type="dxa"/>
            <w:tcBorders>
              <w:bottom w:val="single" w:sz="4" w:space="0" w:color="auto"/>
            </w:tcBorders>
            <w:vAlign w:val="center"/>
          </w:tcPr>
          <w:p w:rsidR="00D70040" w:rsidRDefault="00D70040" w:rsidP="00217ED2">
            <w:pPr>
              <w:spacing w:after="120"/>
              <w:ind w:left="-63" w:right="-108"/>
              <w:jc w:val="center"/>
            </w:pPr>
            <w:r>
              <w:t>C</w:t>
            </w:r>
            <w:r>
              <w:rPr>
                <w:szCs w:val="24"/>
                <w:vertAlign w:val="subscript"/>
              </w:rPr>
              <w:t>5</w:t>
            </w:r>
          </w:p>
        </w:tc>
      </w:tr>
      <w:tr w:rsidR="00D70040" w:rsidTr="00217ED2">
        <w:trPr>
          <w:trHeight w:hRule="exact" w:val="288"/>
        </w:trPr>
        <w:tc>
          <w:tcPr>
            <w:tcW w:w="1365" w:type="dxa"/>
            <w:tcBorders>
              <w:top w:val="single" w:sz="4" w:space="0" w:color="auto"/>
            </w:tcBorders>
          </w:tcPr>
          <w:p w:rsidR="00D70040" w:rsidRDefault="00D70040" w:rsidP="00217ED2">
            <w:pPr>
              <w:spacing w:after="120"/>
              <w:ind w:left="-18" w:right="-153"/>
              <w:jc w:val="center"/>
            </w:pPr>
            <w:r>
              <w:t>-3,000.00</w:t>
            </w:r>
          </w:p>
        </w:tc>
        <w:tc>
          <w:tcPr>
            <w:tcW w:w="1365" w:type="dxa"/>
            <w:tcBorders>
              <w:top w:val="single" w:sz="4" w:space="0" w:color="auto"/>
            </w:tcBorders>
          </w:tcPr>
          <w:p w:rsidR="00D70040" w:rsidRDefault="00D70040" w:rsidP="00217ED2">
            <w:pPr>
              <w:tabs>
                <w:tab w:val="decimal" w:pos="807"/>
              </w:tabs>
              <w:spacing w:after="120"/>
              <w:ind w:left="27" w:right="-108"/>
            </w:pPr>
            <w:r>
              <w:t>+1,000.00</w:t>
            </w:r>
          </w:p>
        </w:tc>
        <w:tc>
          <w:tcPr>
            <w:tcW w:w="1365" w:type="dxa"/>
            <w:tcBorders>
              <w:top w:val="single" w:sz="4" w:space="0" w:color="auto"/>
            </w:tcBorders>
          </w:tcPr>
          <w:p w:rsidR="00D70040" w:rsidRDefault="00D70040" w:rsidP="00217ED2">
            <w:pPr>
              <w:tabs>
                <w:tab w:val="decimal" w:pos="800"/>
              </w:tabs>
              <w:spacing w:after="120"/>
              <w:ind w:left="-108" w:right="-153"/>
            </w:pPr>
            <w:r>
              <w:t>+1,000.00</w:t>
            </w:r>
          </w:p>
        </w:tc>
        <w:tc>
          <w:tcPr>
            <w:tcW w:w="1365" w:type="dxa"/>
            <w:tcBorders>
              <w:top w:val="single" w:sz="4" w:space="0" w:color="auto"/>
            </w:tcBorders>
          </w:tcPr>
          <w:p w:rsidR="00D70040" w:rsidRDefault="00D70040" w:rsidP="00217ED2">
            <w:pPr>
              <w:tabs>
                <w:tab w:val="decimal" w:pos="800"/>
              </w:tabs>
              <w:spacing w:after="120"/>
              <w:ind w:left="27" w:right="-108"/>
            </w:pPr>
            <w:r>
              <w:t>0.00</w:t>
            </w:r>
          </w:p>
        </w:tc>
        <w:tc>
          <w:tcPr>
            <w:tcW w:w="1365" w:type="dxa"/>
            <w:tcBorders>
              <w:top w:val="single" w:sz="4" w:space="0" w:color="auto"/>
            </w:tcBorders>
          </w:tcPr>
          <w:p w:rsidR="00D70040" w:rsidRDefault="00D70040" w:rsidP="00217ED2">
            <w:pPr>
              <w:tabs>
                <w:tab w:val="decimal" w:pos="890"/>
              </w:tabs>
              <w:spacing w:after="120"/>
              <w:ind w:left="-108" w:right="-153"/>
            </w:pPr>
            <w:r>
              <w:t>+1,000.00</w:t>
            </w:r>
          </w:p>
        </w:tc>
        <w:tc>
          <w:tcPr>
            <w:tcW w:w="1365" w:type="dxa"/>
            <w:tcBorders>
              <w:top w:val="single" w:sz="4" w:space="0" w:color="auto"/>
            </w:tcBorders>
          </w:tcPr>
          <w:p w:rsidR="00D70040" w:rsidRDefault="00D70040" w:rsidP="00217ED2">
            <w:pPr>
              <w:tabs>
                <w:tab w:val="decimal" w:pos="895"/>
              </w:tabs>
              <w:spacing w:after="120"/>
              <w:ind w:left="-63" w:right="-108"/>
            </w:pPr>
            <w:r>
              <w:t>+1,000.00</w:t>
            </w:r>
          </w:p>
        </w:tc>
      </w:tr>
      <w:tr w:rsidR="00D70040" w:rsidTr="00217ED2">
        <w:trPr>
          <w:trHeight w:hRule="exact" w:val="288"/>
        </w:trPr>
        <w:tc>
          <w:tcPr>
            <w:tcW w:w="1365" w:type="dxa"/>
          </w:tcPr>
          <w:p w:rsidR="00D70040" w:rsidRDefault="00D70040" w:rsidP="00217ED2">
            <w:pPr>
              <w:spacing w:after="120"/>
              <w:ind w:left="-18" w:right="-153"/>
              <w:jc w:val="center"/>
            </w:pPr>
            <w:r>
              <w:t>-3,000.00</w:t>
            </w:r>
          </w:p>
        </w:tc>
        <w:tc>
          <w:tcPr>
            <w:tcW w:w="1365" w:type="dxa"/>
          </w:tcPr>
          <w:p w:rsidR="00D70040" w:rsidRDefault="00D70040" w:rsidP="00217ED2">
            <w:pPr>
              <w:tabs>
                <w:tab w:val="decimal" w:pos="807"/>
              </w:tabs>
              <w:spacing w:after="120"/>
              <w:ind w:left="27" w:right="-108"/>
            </w:pPr>
            <w:r>
              <w:t>909.09</w:t>
            </w:r>
          </w:p>
        </w:tc>
        <w:tc>
          <w:tcPr>
            <w:tcW w:w="1365" w:type="dxa"/>
          </w:tcPr>
          <w:p w:rsidR="00D70040" w:rsidRDefault="00D70040" w:rsidP="00217ED2">
            <w:pPr>
              <w:tabs>
                <w:tab w:val="decimal" w:pos="800"/>
              </w:tabs>
              <w:spacing w:after="120"/>
              <w:ind w:left="-108" w:right="-153"/>
            </w:pPr>
            <w:r>
              <w:t>826.45</w:t>
            </w:r>
          </w:p>
        </w:tc>
        <w:tc>
          <w:tcPr>
            <w:tcW w:w="1365" w:type="dxa"/>
          </w:tcPr>
          <w:p w:rsidR="00D70040" w:rsidRDefault="00D70040" w:rsidP="00217ED2">
            <w:pPr>
              <w:tabs>
                <w:tab w:val="decimal" w:pos="800"/>
              </w:tabs>
              <w:spacing w:after="120"/>
              <w:ind w:left="27" w:right="-108"/>
            </w:pPr>
            <w:r>
              <w:t>0.00</w:t>
            </w:r>
          </w:p>
        </w:tc>
        <w:tc>
          <w:tcPr>
            <w:tcW w:w="1365" w:type="dxa"/>
          </w:tcPr>
          <w:p w:rsidR="00D70040" w:rsidRDefault="00D70040" w:rsidP="00217ED2">
            <w:pPr>
              <w:tabs>
                <w:tab w:val="decimal" w:pos="890"/>
              </w:tabs>
              <w:spacing w:after="120"/>
              <w:ind w:left="-108" w:right="-153"/>
            </w:pPr>
            <w:r>
              <w:t>683.01</w:t>
            </w:r>
          </w:p>
        </w:tc>
        <w:tc>
          <w:tcPr>
            <w:tcW w:w="1365" w:type="dxa"/>
          </w:tcPr>
          <w:p w:rsidR="00D70040" w:rsidRDefault="00D70040" w:rsidP="00217ED2">
            <w:pPr>
              <w:tabs>
                <w:tab w:val="decimal" w:pos="895"/>
              </w:tabs>
              <w:spacing w:after="120"/>
              <w:ind w:left="-63" w:right="-108"/>
            </w:pPr>
            <w:r>
              <w:t>620.92</w:t>
            </w:r>
          </w:p>
        </w:tc>
      </w:tr>
      <w:tr w:rsidR="00D70040" w:rsidTr="00217ED2">
        <w:trPr>
          <w:trHeight w:hRule="exact" w:val="288"/>
        </w:trPr>
        <w:tc>
          <w:tcPr>
            <w:tcW w:w="1365" w:type="dxa"/>
          </w:tcPr>
          <w:p w:rsidR="00D70040" w:rsidRDefault="00D70040" w:rsidP="00217ED2">
            <w:pPr>
              <w:spacing w:after="120"/>
              <w:ind w:left="-18" w:right="-153"/>
              <w:jc w:val="center"/>
            </w:pPr>
          </w:p>
        </w:tc>
        <w:tc>
          <w:tcPr>
            <w:tcW w:w="1365" w:type="dxa"/>
          </w:tcPr>
          <w:p w:rsidR="00D70040" w:rsidRDefault="00D70040" w:rsidP="00217ED2">
            <w:pPr>
              <w:tabs>
                <w:tab w:val="decimal" w:pos="807"/>
              </w:tabs>
              <w:spacing w:after="120"/>
              <w:ind w:left="27" w:right="-108"/>
            </w:pPr>
            <w:r>
              <w:t>-2,090.91</w:t>
            </w:r>
          </w:p>
        </w:tc>
        <w:tc>
          <w:tcPr>
            <w:tcW w:w="1365" w:type="dxa"/>
          </w:tcPr>
          <w:p w:rsidR="00D70040" w:rsidRDefault="00D70040" w:rsidP="00217ED2">
            <w:pPr>
              <w:tabs>
                <w:tab w:val="decimal" w:pos="800"/>
              </w:tabs>
              <w:spacing w:after="120"/>
            </w:pPr>
            <w:r>
              <w:t>-1,264.46</w:t>
            </w:r>
          </w:p>
        </w:tc>
        <w:tc>
          <w:tcPr>
            <w:tcW w:w="1365" w:type="dxa"/>
          </w:tcPr>
          <w:p w:rsidR="00D70040" w:rsidRDefault="00D70040" w:rsidP="00217ED2">
            <w:pPr>
              <w:tabs>
                <w:tab w:val="decimal" w:pos="800"/>
              </w:tabs>
              <w:spacing w:after="120"/>
              <w:ind w:left="27" w:right="-108"/>
            </w:pPr>
            <w:r>
              <w:t>-1,264.46</w:t>
            </w:r>
          </w:p>
        </w:tc>
        <w:tc>
          <w:tcPr>
            <w:tcW w:w="1365" w:type="dxa"/>
          </w:tcPr>
          <w:p w:rsidR="00D70040" w:rsidRDefault="00D70040" w:rsidP="00217ED2">
            <w:pPr>
              <w:tabs>
                <w:tab w:val="decimal" w:pos="890"/>
              </w:tabs>
              <w:spacing w:after="120"/>
              <w:ind w:left="-108" w:right="-153"/>
            </w:pPr>
            <w:r>
              <w:t>-581.45</w:t>
            </w:r>
          </w:p>
        </w:tc>
        <w:tc>
          <w:tcPr>
            <w:tcW w:w="1365" w:type="dxa"/>
          </w:tcPr>
          <w:p w:rsidR="00D70040" w:rsidRDefault="00D70040" w:rsidP="00217ED2">
            <w:pPr>
              <w:tabs>
                <w:tab w:val="decimal" w:pos="895"/>
              </w:tabs>
              <w:spacing w:after="120"/>
              <w:ind w:left="-63" w:right="-108"/>
            </w:pPr>
            <w:r>
              <w:t>39.47</w:t>
            </w:r>
          </w:p>
        </w:tc>
      </w:tr>
    </w:tbl>
    <w:p w:rsidR="00D70040" w:rsidRDefault="00D70040" w:rsidP="00D70040">
      <w:pPr>
        <w:spacing w:before="120" w:after="120"/>
        <w:ind w:left="1440"/>
      </w:pPr>
      <w:r>
        <w:t>Since the cumulative NPV turns positive between year four and year five, the discounted payback period is:</w:t>
      </w:r>
    </w:p>
    <w:p w:rsidR="00D70040" w:rsidRDefault="00D70040" w:rsidP="00D70040">
      <w:pPr>
        <w:pStyle w:val="Header"/>
        <w:tabs>
          <w:tab w:val="clear" w:pos="4320"/>
          <w:tab w:val="clear" w:pos="8640"/>
        </w:tabs>
        <w:ind w:left="2160"/>
        <w:rPr>
          <w:noProof/>
        </w:rPr>
      </w:pPr>
      <w:r w:rsidRPr="00A84405">
        <w:rPr>
          <w:noProof/>
          <w:position w:val="-24"/>
        </w:rPr>
        <w:object w:dxaOrig="2620" w:dyaOrig="620">
          <v:shape id="_x0000_i1030" type="#_x0000_t75" style="width:131.25pt;height:30.75pt" o:ole="" fillcolor="window">
            <v:imagedata r:id="rId16" o:title=""/>
          </v:shape>
          <o:OLEObject Type="Embed" ProgID="Equation.3" ShapeID="_x0000_i1030" DrawAspect="Content" ObjectID="_1355989897" r:id="rId17"/>
        </w:object>
      </w:r>
    </w:p>
    <w:p w:rsidR="00D70040" w:rsidRDefault="00D70040" w:rsidP="00D70040"/>
    <w:p w:rsidR="00D70040" w:rsidRDefault="00D70040" w:rsidP="00D70040">
      <w:pPr>
        <w:ind w:left="1440" w:hanging="720"/>
      </w:pPr>
      <w:r>
        <w:t>e.</w:t>
      </w:r>
      <w:r>
        <w:tab/>
        <w:t>Using the discounted payback period rule with a cutoff of three years, the firm would accept only Project B.</w:t>
      </w:r>
    </w:p>
    <w:p w:rsidR="00D70040" w:rsidRDefault="00D70040" w:rsidP="00D70040">
      <w:pPr>
        <w:pStyle w:val="BodyTextIndent2"/>
        <w:tabs>
          <w:tab w:val="clear" w:pos="720"/>
          <w:tab w:val="clear" w:pos="1440"/>
        </w:tabs>
        <w:ind w:left="0" w:firstLine="0"/>
      </w:pPr>
    </w:p>
    <w:p w:rsidR="00D70040" w:rsidRDefault="00D70040" w:rsidP="00D70040">
      <w:pPr>
        <w:pStyle w:val="BodyTextIndent2"/>
        <w:tabs>
          <w:tab w:val="clear" w:pos="720"/>
          <w:tab w:val="clear" w:pos="1440"/>
        </w:tabs>
        <w:ind w:left="0" w:firstLine="0"/>
      </w:pPr>
    </w:p>
    <w:p w:rsidR="00D70040" w:rsidRDefault="00D70040" w:rsidP="00D70040">
      <w:pPr>
        <w:pStyle w:val="BodyTextIndent2"/>
        <w:tabs>
          <w:tab w:val="clear" w:pos="1440"/>
          <w:tab w:val="left" w:pos="720"/>
        </w:tabs>
        <w:ind w:hanging="1440"/>
      </w:pPr>
      <w:r>
        <w:t>9.</w:t>
      </w:r>
      <w:r>
        <w:tab/>
      </w:r>
      <w:proofErr w:type="gramStart"/>
      <w:r>
        <w:t>a</w:t>
      </w:r>
      <w:proofErr w:type="gramEnd"/>
      <w:r>
        <w:t>.</w:t>
      </w:r>
      <w:r>
        <w:tab/>
        <w:t>When using the IRR rule, the firm must still compare the IRR with the opportunity cost of capital.  Thus, even with the IRR method, one must specify the appropriate discount rate.</w:t>
      </w:r>
    </w:p>
    <w:p w:rsidR="00D70040" w:rsidRDefault="00D70040" w:rsidP="00D70040">
      <w:pPr>
        <w:pStyle w:val="BodyTextIndent2"/>
        <w:tabs>
          <w:tab w:val="clear" w:pos="720"/>
          <w:tab w:val="clear" w:pos="1440"/>
        </w:tabs>
        <w:ind w:left="0" w:firstLine="0"/>
      </w:pPr>
    </w:p>
    <w:p w:rsidR="00D70040" w:rsidRDefault="00D70040" w:rsidP="00D70040">
      <w:pPr>
        <w:pStyle w:val="BodyTextIndent2"/>
        <w:tabs>
          <w:tab w:val="clear" w:pos="720"/>
          <w:tab w:val="clear" w:pos="1440"/>
        </w:tabs>
        <w:ind w:hanging="720"/>
      </w:pPr>
      <w:r>
        <w:t>b.</w:t>
      </w:r>
      <w:r>
        <w:tab/>
        <w:t>Risky cash flows should be discounted at a higher rate than the rate used to discount less risky cash flows.  Using the payback rule is equivalent to using the NPV rule with a zero discount rate for cash flows before the payback period and an infinite discount rate for cash flows thereafter.</w:t>
      </w:r>
    </w:p>
    <w:p w:rsidR="00D70040" w:rsidRDefault="00D70040" w:rsidP="00D70040">
      <w:pPr>
        <w:pStyle w:val="Header"/>
        <w:tabs>
          <w:tab w:val="clear" w:pos="4320"/>
          <w:tab w:val="clear" w:pos="8640"/>
        </w:tabs>
        <w:spacing w:line="360" w:lineRule="auto"/>
      </w:pPr>
    </w:p>
    <w:p w:rsidR="00D70040" w:rsidRDefault="00D70040" w:rsidP="00D70040">
      <w:r>
        <w:t>10.</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56"/>
        <w:gridCol w:w="956"/>
        <w:gridCol w:w="956"/>
        <w:gridCol w:w="957"/>
        <w:gridCol w:w="956"/>
        <w:gridCol w:w="956"/>
        <w:gridCol w:w="956"/>
        <w:gridCol w:w="957"/>
      </w:tblGrid>
      <w:tr w:rsidR="00D70040" w:rsidTr="00217ED2">
        <w:tblPrEx>
          <w:tblCellMar>
            <w:top w:w="0" w:type="dxa"/>
            <w:left w:w="0" w:type="dxa"/>
            <w:bottom w:w="0" w:type="dxa"/>
            <w:right w:w="0" w:type="dxa"/>
          </w:tblCellMar>
        </w:tblPrEx>
        <w:tc>
          <w:tcPr>
            <w:tcW w:w="720" w:type="dxa"/>
          </w:tcPr>
          <w:p w:rsidR="00D70040" w:rsidRDefault="00D70040" w:rsidP="00217ED2">
            <w:pPr>
              <w:tabs>
                <w:tab w:val="left" w:pos="720"/>
                <w:tab w:val="left" w:pos="1440"/>
              </w:tabs>
              <w:jc w:val="right"/>
              <w:rPr>
                <w:sz w:val="20"/>
              </w:rPr>
            </w:pPr>
          </w:p>
        </w:tc>
        <w:tc>
          <w:tcPr>
            <w:tcW w:w="956" w:type="dxa"/>
          </w:tcPr>
          <w:p w:rsidR="00D70040" w:rsidRDefault="00D70040" w:rsidP="00217ED2">
            <w:pPr>
              <w:tabs>
                <w:tab w:val="left" w:pos="720"/>
                <w:tab w:val="left" w:pos="1440"/>
              </w:tabs>
              <w:jc w:val="right"/>
              <w:rPr>
                <w:sz w:val="20"/>
              </w:rPr>
            </w:pPr>
            <w:r>
              <w:rPr>
                <w:sz w:val="20"/>
              </w:rPr>
              <w:t xml:space="preserve">r = </w:t>
            </w:r>
          </w:p>
        </w:tc>
        <w:tc>
          <w:tcPr>
            <w:tcW w:w="956" w:type="dxa"/>
          </w:tcPr>
          <w:p w:rsidR="00D70040" w:rsidRDefault="00D70040" w:rsidP="00217ED2">
            <w:pPr>
              <w:tabs>
                <w:tab w:val="left" w:pos="720"/>
                <w:tab w:val="left" w:pos="1440"/>
              </w:tabs>
              <w:jc w:val="center"/>
              <w:rPr>
                <w:sz w:val="20"/>
              </w:rPr>
            </w:pPr>
            <w:r>
              <w:rPr>
                <w:sz w:val="20"/>
              </w:rPr>
              <w:t>-17.44%</w:t>
            </w:r>
          </w:p>
        </w:tc>
        <w:tc>
          <w:tcPr>
            <w:tcW w:w="956" w:type="dxa"/>
          </w:tcPr>
          <w:p w:rsidR="00D70040" w:rsidRDefault="00D70040" w:rsidP="00217ED2">
            <w:pPr>
              <w:tabs>
                <w:tab w:val="left" w:pos="720"/>
                <w:tab w:val="left" w:pos="1440"/>
              </w:tabs>
              <w:jc w:val="center"/>
              <w:rPr>
                <w:sz w:val="20"/>
              </w:rPr>
            </w:pPr>
            <w:r>
              <w:rPr>
                <w:sz w:val="20"/>
              </w:rPr>
              <w:t>0.00%</w:t>
            </w:r>
          </w:p>
        </w:tc>
        <w:tc>
          <w:tcPr>
            <w:tcW w:w="957" w:type="dxa"/>
          </w:tcPr>
          <w:p w:rsidR="00D70040" w:rsidRDefault="00D70040" w:rsidP="00217ED2">
            <w:pPr>
              <w:tabs>
                <w:tab w:val="left" w:pos="720"/>
                <w:tab w:val="left" w:pos="1440"/>
              </w:tabs>
              <w:jc w:val="center"/>
              <w:rPr>
                <w:sz w:val="20"/>
              </w:rPr>
            </w:pPr>
            <w:r>
              <w:rPr>
                <w:sz w:val="20"/>
              </w:rPr>
              <w:t>10.00%</w:t>
            </w:r>
          </w:p>
        </w:tc>
        <w:tc>
          <w:tcPr>
            <w:tcW w:w="956" w:type="dxa"/>
          </w:tcPr>
          <w:p w:rsidR="00D70040" w:rsidRDefault="00D70040" w:rsidP="00217ED2">
            <w:pPr>
              <w:tabs>
                <w:tab w:val="left" w:pos="720"/>
                <w:tab w:val="left" w:pos="1440"/>
              </w:tabs>
              <w:jc w:val="center"/>
              <w:rPr>
                <w:sz w:val="20"/>
              </w:rPr>
            </w:pPr>
            <w:r>
              <w:rPr>
                <w:sz w:val="20"/>
              </w:rPr>
              <w:t>15.00%</w:t>
            </w:r>
          </w:p>
        </w:tc>
        <w:tc>
          <w:tcPr>
            <w:tcW w:w="956" w:type="dxa"/>
          </w:tcPr>
          <w:p w:rsidR="00D70040" w:rsidRDefault="00D70040" w:rsidP="00217ED2">
            <w:pPr>
              <w:tabs>
                <w:tab w:val="left" w:pos="720"/>
                <w:tab w:val="left" w:pos="1440"/>
              </w:tabs>
              <w:jc w:val="center"/>
              <w:rPr>
                <w:sz w:val="20"/>
              </w:rPr>
            </w:pPr>
            <w:r>
              <w:rPr>
                <w:sz w:val="20"/>
              </w:rPr>
              <w:t>20.00%</w:t>
            </w:r>
          </w:p>
        </w:tc>
        <w:tc>
          <w:tcPr>
            <w:tcW w:w="956" w:type="dxa"/>
          </w:tcPr>
          <w:p w:rsidR="00D70040" w:rsidRDefault="00D70040" w:rsidP="00217ED2">
            <w:pPr>
              <w:tabs>
                <w:tab w:val="left" w:pos="720"/>
                <w:tab w:val="left" w:pos="1440"/>
              </w:tabs>
              <w:jc w:val="center"/>
              <w:rPr>
                <w:sz w:val="20"/>
              </w:rPr>
            </w:pPr>
            <w:r>
              <w:rPr>
                <w:sz w:val="20"/>
              </w:rPr>
              <w:t>25.00%</w:t>
            </w:r>
          </w:p>
        </w:tc>
        <w:tc>
          <w:tcPr>
            <w:tcW w:w="957" w:type="dxa"/>
          </w:tcPr>
          <w:p w:rsidR="00D70040" w:rsidRDefault="00D70040" w:rsidP="00217ED2">
            <w:pPr>
              <w:tabs>
                <w:tab w:val="left" w:pos="720"/>
                <w:tab w:val="left" w:pos="1440"/>
              </w:tabs>
              <w:jc w:val="center"/>
              <w:rPr>
                <w:sz w:val="20"/>
              </w:rPr>
            </w:pPr>
            <w:r>
              <w:rPr>
                <w:sz w:val="20"/>
              </w:rPr>
              <w:t>45.27%</w:t>
            </w:r>
          </w:p>
        </w:tc>
      </w:tr>
      <w:tr w:rsidR="00D70040" w:rsidTr="00217ED2">
        <w:tblPrEx>
          <w:tblCellMar>
            <w:top w:w="0" w:type="dxa"/>
            <w:left w:w="0" w:type="dxa"/>
            <w:bottom w:w="0" w:type="dxa"/>
            <w:right w:w="0" w:type="dxa"/>
          </w:tblCellMar>
        </w:tblPrEx>
        <w:tc>
          <w:tcPr>
            <w:tcW w:w="720" w:type="dxa"/>
          </w:tcPr>
          <w:p w:rsidR="00D70040" w:rsidRDefault="00D70040" w:rsidP="00217ED2">
            <w:pPr>
              <w:tabs>
                <w:tab w:val="left" w:pos="720"/>
                <w:tab w:val="left" w:pos="1440"/>
              </w:tabs>
              <w:jc w:val="center"/>
              <w:rPr>
                <w:sz w:val="20"/>
              </w:rPr>
            </w:pPr>
            <w:r>
              <w:rPr>
                <w:sz w:val="20"/>
              </w:rPr>
              <w:t>Year 0</w:t>
            </w:r>
          </w:p>
        </w:tc>
        <w:tc>
          <w:tcPr>
            <w:tcW w:w="956" w:type="dxa"/>
          </w:tcPr>
          <w:p w:rsidR="00D70040" w:rsidRDefault="00D70040" w:rsidP="00217ED2">
            <w:pPr>
              <w:tabs>
                <w:tab w:val="decimal" w:pos="630"/>
                <w:tab w:val="left" w:pos="1440"/>
              </w:tabs>
              <w:rPr>
                <w:sz w:val="20"/>
              </w:rPr>
            </w:pPr>
            <w:r>
              <w:rPr>
                <w:sz w:val="20"/>
              </w:rPr>
              <w:tab/>
              <w:t>-3,000.00</w:t>
            </w:r>
          </w:p>
        </w:tc>
        <w:tc>
          <w:tcPr>
            <w:tcW w:w="956" w:type="dxa"/>
          </w:tcPr>
          <w:p w:rsidR="00D70040" w:rsidRDefault="00D70040" w:rsidP="00217ED2">
            <w:pPr>
              <w:tabs>
                <w:tab w:val="decimal" w:pos="574"/>
                <w:tab w:val="left" w:pos="1440"/>
              </w:tabs>
              <w:rPr>
                <w:sz w:val="20"/>
              </w:rPr>
            </w:pPr>
            <w:r>
              <w:rPr>
                <w:sz w:val="20"/>
              </w:rPr>
              <w:tab/>
              <w:t>-3,000.00</w:t>
            </w:r>
          </w:p>
        </w:tc>
        <w:tc>
          <w:tcPr>
            <w:tcW w:w="956" w:type="dxa"/>
          </w:tcPr>
          <w:p w:rsidR="00D70040" w:rsidRDefault="00D70040" w:rsidP="00217ED2">
            <w:pPr>
              <w:tabs>
                <w:tab w:val="decimal" w:pos="608"/>
                <w:tab w:val="left" w:pos="1440"/>
              </w:tabs>
              <w:rPr>
                <w:sz w:val="20"/>
              </w:rPr>
            </w:pPr>
            <w:r>
              <w:rPr>
                <w:sz w:val="20"/>
              </w:rPr>
              <w:tab/>
              <w:t>-3,000.00</w:t>
            </w:r>
          </w:p>
        </w:tc>
        <w:tc>
          <w:tcPr>
            <w:tcW w:w="957" w:type="dxa"/>
          </w:tcPr>
          <w:p w:rsidR="00D70040" w:rsidRDefault="00D70040" w:rsidP="00217ED2">
            <w:pPr>
              <w:tabs>
                <w:tab w:val="decimal" w:pos="642"/>
                <w:tab w:val="left" w:pos="1440"/>
              </w:tabs>
              <w:rPr>
                <w:sz w:val="20"/>
              </w:rPr>
            </w:pPr>
            <w:r>
              <w:rPr>
                <w:sz w:val="20"/>
              </w:rPr>
              <w:tab/>
              <w:t>-3,000.00</w:t>
            </w:r>
          </w:p>
        </w:tc>
        <w:tc>
          <w:tcPr>
            <w:tcW w:w="956" w:type="dxa"/>
          </w:tcPr>
          <w:p w:rsidR="00D70040" w:rsidRDefault="00D70040" w:rsidP="00217ED2">
            <w:pPr>
              <w:tabs>
                <w:tab w:val="decimal" w:pos="585"/>
                <w:tab w:val="left" w:pos="1440"/>
              </w:tabs>
              <w:rPr>
                <w:sz w:val="20"/>
              </w:rPr>
            </w:pPr>
            <w:r>
              <w:rPr>
                <w:sz w:val="20"/>
              </w:rPr>
              <w:tab/>
              <w:t>-3,000.00</w:t>
            </w:r>
          </w:p>
        </w:tc>
        <w:tc>
          <w:tcPr>
            <w:tcW w:w="956" w:type="dxa"/>
          </w:tcPr>
          <w:p w:rsidR="00D70040" w:rsidRDefault="00D70040" w:rsidP="00217ED2">
            <w:pPr>
              <w:tabs>
                <w:tab w:val="decimal" w:pos="619"/>
                <w:tab w:val="left" w:pos="1440"/>
              </w:tabs>
              <w:rPr>
                <w:sz w:val="20"/>
              </w:rPr>
            </w:pPr>
            <w:r>
              <w:rPr>
                <w:sz w:val="20"/>
              </w:rPr>
              <w:tab/>
              <w:t>-3,000.00</w:t>
            </w:r>
          </w:p>
        </w:tc>
        <w:tc>
          <w:tcPr>
            <w:tcW w:w="956" w:type="dxa"/>
          </w:tcPr>
          <w:p w:rsidR="00D70040" w:rsidRDefault="00D70040" w:rsidP="00217ED2">
            <w:pPr>
              <w:tabs>
                <w:tab w:val="decimal" w:pos="563"/>
                <w:tab w:val="left" w:pos="1440"/>
              </w:tabs>
              <w:rPr>
                <w:sz w:val="20"/>
              </w:rPr>
            </w:pPr>
            <w:r>
              <w:rPr>
                <w:sz w:val="20"/>
              </w:rPr>
              <w:tab/>
              <w:t>-3,000.00</w:t>
            </w:r>
          </w:p>
        </w:tc>
        <w:tc>
          <w:tcPr>
            <w:tcW w:w="957" w:type="dxa"/>
          </w:tcPr>
          <w:p w:rsidR="00D70040" w:rsidRDefault="00D70040" w:rsidP="00217ED2">
            <w:pPr>
              <w:tabs>
                <w:tab w:val="decimal" w:pos="597"/>
                <w:tab w:val="left" w:pos="1440"/>
              </w:tabs>
              <w:rPr>
                <w:sz w:val="20"/>
              </w:rPr>
            </w:pPr>
            <w:r>
              <w:rPr>
                <w:sz w:val="20"/>
              </w:rPr>
              <w:tab/>
              <w:t>-3,000.00</w:t>
            </w:r>
          </w:p>
        </w:tc>
      </w:tr>
      <w:tr w:rsidR="00D70040" w:rsidTr="00217ED2">
        <w:tblPrEx>
          <w:tblCellMar>
            <w:top w:w="0" w:type="dxa"/>
            <w:left w:w="0" w:type="dxa"/>
            <w:bottom w:w="0" w:type="dxa"/>
            <w:right w:w="0" w:type="dxa"/>
          </w:tblCellMar>
        </w:tblPrEx>
        <w:tc>
          <w:tcPr>
            <w:tcW w:w="720" w:type="dxa"/>
          </w:tcPr>
          <w:p w:rsidR="00D70040" w:rsidRDefault="00D70040" w:rsidP="00217ED2">
            <w:pPr>
              <w:tabs>
                <w:tab w:val="left" w:pos="720"/>
                <w:tab w:val="left" w:pos="1440"/>
              </w:tabs>
              <w:jc w:val="center"/>
              <w:rPr>
                <w:sz w:val="20"/>
              </w:rPr>
            </w:pPr>
            <w:r>
              <w:rPr>
                <w:sz w:val="20"/>
              </w:rPr>
              <w:t>Year 1</w:t>
            </w:r>
          </w:p>
        </w:tc>
        <w:tc>
          <w:tcPr>
            <w:tcW w:w="956" w:type="dxa"/>
          </w:tcPr>
          <w:p w:rsidR="00D70040" w:rsidRDefault="00D70040" w:rsidP="00217ED2">
            <w:pPr>
              <w:tabs>
                <w:tab w:val="decimal" w:pos="630"/>
                <w:tab w:val="left" w:pos="1440"/>
              </w:tabs>
              <w:rPr>
                <w:sz w:val="20"/>
              </w:rPr>
            </w:pPr>
            <w:r>
              <w:rPr>
                <w:sz w:val="20"/>
              </w:rPr>
              <w:tab/>
              <w:t>3,500.00</w:t>
            </w:r>
          </w:p>
        </w:tc>
        <w:tc>
          <w:tcPr>
            <w:tcW w:w="956" w:type="dxa"/>
          </w:tcPr>
          <w:p w:rsidR="00D70040" w:rsidRDefault="00D70040" w:rsidP="00217ED2">
            <w:pPr>
              <w:tabs>
                <w:tab w:val="decimal" w:pos="574"/>
                <w:tab w:val="left" w:pos="1440"/>
              </w:tabs>
              <w:rPr>
                <w:sz w:val="20"/>
              </w:rPr>
            </w:pPr>
            <w:r>
              <w:rPr>
                <w:sz w:val="20"/>
              </w:rPr>
              <w:tab/>
              <w:t>4,239.34</w:t>
            </w:r>
          </w:p>
        </w:tc>
        <w:tc>
          <w:tcPr>
            <w:tcW w:w="956" w:type="dxa"/>
          </w:tcPr>
          <w:p w:rsidR="00D70040" w:rsidRDefault="00D70040" w:rsidP="00217ED2">
            <w:pPr>
              <w:tabs>
                <w:tab w:val="decimal" w:pos="608"/>
                <w:tab w:val="left" w:pos="1440"/>
              </w:tabs>
              <w:rPr>
                <w:sz w:val="20"/>
              </w:rPr>
            </w:pPr>
            <w:r>
              <w:rPr>
                <w:sz w:val="20"/>
              </w:rPr>
              <w:tab/>
              <w:t>3,500.00</w:t>
            </w:r>
          </w:p>
        </w:tc>
        <w:tc>
          <w:tcPr>
            <w:tcW w:w="957" w:type="dxa"/>
          </w:tcPr>
          <w:p w:rsidR="00D70040" w:rsidRDefault="00D70040" w:rsidP="00217ED2">
            <w:pPr>
              <w:tabs>
                <w:tab w:val="decimal" w:pos="642"/>
                <w:tab w:val="left" w:pos="1440"/>
              </w:tabs>
              <w:rPr>
                <w:sz w:val="20"/>
              </w:rPr>
            </w:pPr>
            <w:r>
              <w:rPr>
                <w:sz w:val="20"/>
              </w:rPr>
              <w:tab/>
              <w:t>3,181.82</w:t>
            </w:r>
          </w:p>
        </w:tc>
        <w:tc>
          <w:tcPr>
            <w:tcW w:w="956" w:type="dxa"/>
          </w:tcPr>
          <w:p w:rsidR="00D70040" w:rsidRDefault="00D70040" w:rsidP="00217ED2">
            <w:pPr>
              <w:tabs>
                <w:tab w:val="decimal" w:pos="585"/>
                <w:tab w:val="left" w:pos="1440"/>
              </w:tabs>
              <w:rPr>
                <w:sz w:val="20"/>
              </w:rPr>
            </w:pPr>
            <w:r>
              <w:rPr>
                <w:sz w:val="20"/>
              </w:rPr>
              <w:tab/>
              <w:t>3,043.48</w:t>
            </w:r>
          </w:p>
        </w:tc>
        <w:tc>
          <w:tcPr>
            <w:tcW w:w="956" w:type="dxa"/>
          </w:tcPr>
          <w:p w:rsidR="00D70040" w:rsidRDefault="00D70040" w:rsidP="00217ED2">
            <w:pPr>
              <w:tabs>
                <w:tab w:val="decimal" w:pos="619"/>
                <w:tab w:val="left" w:pos="1440"/>
              </w:tabs>
              <w:rPr>
                <w:sz w:val="20"/>
              </w:rPr>
            </w:pPr>
            <w:r>
              <w:rPr>
                <w:sz w:val="20"/>
              </w:rPr>
              <w:tab/>
              <w:t>2,916.67</w:t>
            </w:r>
          </w:p>
        </w:tc>
        <w:tc>
          <w:tcPr>
            <w:tcW w:w="956" w:type="dxa"/>
          </w:tcPr>
          <w:p w:rsidR="00D70040" w:rsidRDefault="00D70040" w:rsidP="00217ED2">
            <w:pPr>
              <w:tabs>
                <w:tab w:val="decimal" w:pos="563"/>
                <w:tab w:val="left" w:pos="1440"/>
              </w:tabs>
              <w:rPr>
                <w:sz w:val="20"/>
              </w:rPr>
            </w:pPr>
            <w:r>
              <w:rPr>
                <w:sz w:val="20"/>
              </w:rPr>
              <w:tab/>
              <w:t>2,800.00</w:t>
            </w:r>
          </w:p>
        </w:tc>
        <w:tc>
          <w:tcPr>
            <w:tcW w:w="957" w:type="dxa"/>
          </w:tcPr>
          <w:p w:rsidR="00D70040" w:rsidRDefault="00D70040" w:rsidP="00217ED2">
            <w:pPr>
              <w:tabs>
                <w:tab w:val="decimal" w:pos="597"/>
                <w:tab w:val="left" w:pos="1440"/>
              </w:tabs>
              <w:rPr>
                <w:sz w:val="20"/>
              </w:rPr>
            </w:pPr>
            <w:r>
              <w:rPr>
                <w:sz w:val="20"/>
              </w:rPr>
              <w:tab/>
              <w:t>2,409.31</w:t>
            </w:r>
          </w:p>
        </w:tc>
      </w:tr>
      <w:tr w:rsidR="00D70040" w:rsidTr="00217ED2">
        <w:tblPrEx>
          <w:tblCellMar>
            <w:top w:w="0" w:type="dxa"/>
            <w:left w:w="0" w:type="dxa"/>
            <w:bottom w:w="0" w:type="dxa"/>
            <w:right w:w="0" w:type="dxa"/>
          </w:tblCellMar>
        </w:tblPrEx>
        <w:tc>
          <w:tcPr>
            <w:tcW w:w="720" w:type="dxa"/>
          </w:tcPr>
          <w:p w:rsidR="00D70040" w:rsidRDefault="00D70040" w:rsidP="00217ED2">
            <w:pPr>
              <w:tabs>
                <w:tab w:val="left" w:pos="720"/>
                <w:tab w:val="left" w:pos="1440"/>
              </w:tabs>
              <w:jc w:val="center"/>
              <w:rPr>
                <w:sz w:val="20"/>
              </w:rPr>
            </w:pPr>
            <w:r>
              <w:rPr>
                <w:sz w:val="20"/>
              </w:rPr>
              <w:t>Year 2</w:t>
            </w:r>
          </w:p>
        </w:tc>
        <w:tc>
          <w:tcPr>
            <w:tcW w:w="956" w:type="dxa"/>
          </w:tcPr>
          <w:p w:rsidR="00D70040" w:rsidRDefault="00D70040" w:rsidP="00217ED2">
            <w:pPr>
              <w:tabs>
                <w:tab w:val="decimal" w:pos="630"/>
                <w:tab w:val="left" w:pos="1440"/>
              </w:tabs>
              <w:rPr>
                <w:sz w:val="20"/>
              </w:rPr>
            </w:pPr>
            <w:r>
              <w:rPr>
                <w:sz w:val="20"/>
              </w:rPr>
              <w:tab/>
              <w:t>4,000.00</w:t>
            </w:r>
          </w:p>
        </w:tc>
        <w:tc>
          <w:tcPr>
            <w:tcW w:w="956" w:type="dxa"/>
          </w:tcPr>
          <w:p w:rsidR="00D70040" w:rsidRDefault="00D70040" w:rsidP="00217ED2">
            <w:pPr>
              <w:tabs>
                <w:tab w:val="decimal" w:pos="574"/>
                <w:tab w:val="left" w:pos="1440"/>
              </w:tabs>
              <w:rPr>
                <w:sz w:val="20"/>
              </w:rPr>
            </w:pPr>
            <w:r>
              <w:rPr>
                <w:sz w:val="20"/>
              </w:rPr>
              <w:tab/>
              <w:t>5,868.41</w:t>
            </w:r>
          </w:p>
        </w:tc>
        <w:tc>
          <w:tcPr>
            <w:tcW w:w="956" w:type="dxa"/>
          </w:tcPr>
          <w:p w:rsidR="00D70040" w:rsidRDefault="00D70040" w:rsidP="00217ED2">
            <w:pPr>
              <w:tabs>
                <w:tab w:val="decimal" w:pos="608"/>
                <w:tab w:val="left" w:pos="1440"/>
              </w:tabs>
              <w:rPr>
                <w:sz w:val="20"/>
              </w:rPr>
            </w:pPr>
            <w:r>
              <w:rPr>
                <w:sz w:val="20"/>
              </w:rPr>
              <w:tab/>
              <w:t>4,000.00</w:t>
            </w:r>
          </w:p>
        </w:tc>
        <w:tc>
          <w:tcPr>
            <w:tcW w:w="957" w:type="dxa"/>
          </w:tcPr>
          <w:p w:rsidR="00D70040" w:rsidRDefault="00D70040" w:rsidP="00217ED2">
            <w:pPr>
              <w:tabs>
                <w:tab w:val="decimal" w:pos="642"/>
                <w:tab w:val="left" w:pos="1440"/>
              </w:tabs>
              <w:rPr>
                <w:sz w:val="20"/>
              </w:rPr>
            </w:pPr>
            <w:r>
              <w:rPr>
                <w:sz w:val="20"/>
              </w:rPr>
              <w:tab/>
              <w:t>3,305.79</w:t>
            </w:r>
          </w:p>
        </w:tc>
        <w:tc>
          <w:tcPr>
            <w:tcW w:w="956" w:type="dxa"/>
          </w:tcPr>
          <w:p w:rsidR="00D70040" w:rsidRDefault="00D70040" w:rsidP="00217ED2">
            <w:pPr>
              <w:tabs>
                <w:tab w:val="decimal" w:pos="585"/>
                <w:tab w:val="left" w:pos="1440"/>
              </w:tabs>
              <w:rPr>
                <w:sz w:val="20"/>
              </w:rPr>
            </w:pPr>
            <w:r>
              <w:rPr>
                <w:sz w:val="20"/>
              </w:rPr>
              <w:tab/>
              <w:t>3,024.57</w:t>
            </w:r>
          </w:p>
        </w:tc>
        <w:tc>
          <w:tcPr>
            <w:tcW w:w="956" w:type="dxa"/>
          </w:tcPr>
          <w:p w:rsidR="00D70040" w:rsidRDefault="00D70040" w:rsidP="00217ED2">
            <w:pPr>
              <w:tabs>
                <w:tab w:val="decimal" w:pos="619"/>
                <w:tab w:val="left" w:pos="1440"/>
              </w:tabs>
              <w:rPr>
                <w:sz w:val="20"/>
              </w:rPr>
            </w:pPr>
            <w:r>
              <w:rPr>
                <w:sz w:val="20"/>
              </w:rPr>
              <w:tab/>
              <w:t>2,777.78</w:t>
            </w:r>
          </w:p>
        </w:tc>
        <w:tc>
          <w:tcPr>
            <w:tcW w:w="956" w:type="dxa"/>
          </w:tcPr>
          <w:p w:rsidR="00D70040" w:rsidRDefault="00D70040" w:rsidP="00217ED2">
            <w:pPr>
              <w:tabs>
                <w:tab w:val="decimal" w:pos="563"/>
                <w:tab w:val="left" w:pos="1440"/>
              </w:tabs>
              <w:rPr>
                <w:sz w:val="20"/>
              </w:rPr>
            </w:pPr>
            <w:r>
              <w:rPr>
                <w:sz w:val="20"/>
              </w:rPr>
              <w:tab/>
              <w:t>2,560.00</w:t>
            </w:r>
          </w:p>
        </w:tc>
        <w:tc>
          <w:tcPr>
            <w:tcW w:w="957" w:type="dxa"/>
          </w:tcPr>
          <w:p w:rsidR="00D70040" w:rsidRDefault="00D70040" w:rsidP="00217ED2">
            <w:pPr>
              <w:tabs>
                <w:tab w:val="decimal" w:pos="597"/>
                <w:tab w:val="left" w:pos="1440"/>
              </w:tabs>
              <w:rPr>
                <w:sz w:val="20"/>
              </w:rPr>
            </w:pPr>
            <w:r>
              <w:rPr>
                <w:sz w:val="20"/>
              </w:rPr>
              <w:tab/>
              <w:t>1,895.43</w:t>
            </w:r>
          </w:p>
        </w:tc>
      </w:tr>
      <w:tr w:rsidR="00D70040" w:rsidTr="00217ED2">
        <w:tblPrEx>
          <w:tblCellMar>
            <w:top w:w="0" w:type="dxa"/>
            <w:left w:w="0" w:type="dxa"/>
            <w:bottom w:w="0" w:type="dxa"/>
            <w:right w:w="0" w:type="dxa"/>
          </w:tblCellMar>
        </w:tblPrEx>
        <w:tc>
          <w:tcPr>
            <w:tcW w:w="720" w:type="dxa"/>
          </w:tcPr>
          <w:p w:rsidR="00D70040" w:rsidRDefault="00D70040" w:rsidP="00217ED2">
            <w:pPr>
              <w:tabs>
                <w:tab w:val="left" w:pos="720"/>
                <w:tab w:val="left" w:pos="1440"/>
              </w:tabs>
              <w:jc w:val="center"/>
              <w:rPr>
                <w:sz w:val="20"/>
              </w:rPr>
            </w:pPr>
            <w:r>
              <w:rPr>
                <w:sz w:val="20"/>
              </w:rPr>
              <w:t>Year 3</w:t>
            </w:r>
          </w:p>
        </w:tc>
        <w:tc>
          <w:tcPr>
            <w:tcW w:w="956" w:type="dxa"/>
          </w:tcPr>
          <w:p w:rsidR="00D70040" w:rsidRDefault="00D70040" w:rsidP="00217ED2">
            <w:pPr>
              <w:tabs>
                <w:tab w:val="decimal" w:pos="630"/>
                <w:tab w:val="left" w:pos="1440"/>
              </w:tabs>
              <w:rPr>
                <w:sz w:val="20"/>
              </w:rPr>
            </w:pPr>
            <w:r>
              <w:rPr>
                <w:sz w:val="20"/>
              </w:rPr>
              <w:tab/>
              <w:t>-4,000.00</w:t>
            </w:r>
          </w:p>
        </w:tc>
        <w:tc>
          <w:tcPr>
            <w:tcW w:w="956" w:type="dxa"/>
          </w:tcPr>
          <w:p w:rsidR="00D70040" w:rsidRDefault="00D70040" w:rsidP="00217ED2">
            <w:pPr>
              <w:tabs>
                <w:tab w:val="decimal" w:pos="574"/>
                <w:tab w:val="left" w:pos="1440"/>
              </w:tabs>
              <w:rPr>
                <w:sz w:val="20"/>
              </w:rPr>
            </w:pPr>
            <w:r>
              <w:rPr>
                <w:sz w:val="20"/>
              </w:rPr>
              <w:tab/>
              <w:t>-7,108.06</w:t>
            </w:r>
          </w:p>
        </w:tc>
        <w:tc>
          <w:tcPr>
            <w:tcW w:w="956" w:type="dxa"/>
          </w:tcPr>
          <w:p w:rsidR="00D70040" w:rsidRDefault="00D70040" w:rsidP="00217ED2">
            <w:pPr>
              <w:tabs>
                <w:tab w:val="decimal" w:pos="608"/>
                <w:tab w:val="left" w:pos="1440"/>
              </w:tabs>
              <w:rPr>
                <w:sz w:val="20"/>
              </w:rPr>
            </w:pPr>
            <w:r>
              <w:rPr>
                <w:sz w:val="20"/>
              </w:rPr>
              <w:tab/>
              <w:t>-4,000.00</w:t>
            </w:r>
          </w:p>
        </w:tc>
        <w:tc>
          <w:tcPr>
            <w:tcW w:w="957" w:type="dxa"/>
          </w:tcPr>
          <w:p w:rsidR="00D70040" w:rsidRDefault="00D70040" w:rsidP="00217ED2">
            <w:pPr>
              <w:tabs>
                <w:tab w:val="decimal" w:pos="642"/>
                <w:tab w:val="left" w:pos="1440"/>
              </w:tabs>
              <w:rPr>
                <w:sz w:val="20"/>
              </w:rPr>
            </w:pPr>
            <w:r>
              <w:rPr>
                <w:sz w:val="20"/>
              </w:rPr>
              <w:tab/>
              <w:t>-3,005.26</w:t>
            </w:r>
          </w:p>
        </w:tc>
        <w:tc>
          <w:tcPr>
            <w:tcW w:w="956" w:type="dxa"/>
          </w:tcPr>
          <w:p w:rsidR="00D70040" w:rsidRDefault="00D70040" w:rsidP="00217ED2">
            <w:pPr>
              <w:tabs>
                <w:tab w:val="decimal" w:pos="585"/>
                <w:tab w:val="left" w:pos="1440"/>
              </w:tabs>
              <w:rPr>
                <w:sz w:val="20"/>
              </w:rPr>
            </w:pPr>
            <w:r>
              <w:rPr>
                <w:sz w:val="20"/>
              </w:rPr>
              <w:tab/>
              <w:t>-2,630.06</w:t>
            </w:r>
          </w:p>
        </w:tc>
        <w:tc>
          <w:tcPr>
            <w:tcW w:w="956" w:type="dxa"/>
          </w:tcPr>
          <w:p w:rsidR="00D70040" w:rsidRDefault="00D70040" w:rsidP="00217ED2">
            <w:pPr>
              <w:tabs>
                <w:tab w:val="decimal" w:pos="619"/>
                <w:tab w:val="left" w:pos="1440"/>
              </w:tabs>
              <w:rPr>
                <w:sz w:val="20"/>
              </w:rPr>
            </w:pPr>
            <w:r>
              <w:rPr>
                <w:sz w:val="20"/>
              </w:rPr>
              <w:tab/>
              <w:t>-2,314.81</w:t>
            </w:r>
          </w:p>
        </w:tc>
        <w:tc>
          <w:tcPr>
            <w:tcW w:w="956" w:type="dxa"/>
          </w:tcPr>
          <w:p w:rsidR="00D70040" w:rsidRDefault="00D70040" w:rsidP="00217ED2">
            <w:pPr>
              <w:tabs>
                <w:tab w:val="decimal" w:pos="563"/>
                <w:tab w:val="left" w:pos="1440"/>
              </w:tabs>
              <w:rPr>
                <w:sz w:val="20"/>
              </w:rPr>
            </w:pPr>
            <w:r>
              <w:rPr>
                <w:sz w:val="20"/>
              </w:rPr>
              <w:tab/>
              <w:t>-2,048.00</w:t>
            </w:r>
          </w:p>
        </w:tc>
        <w:tc>
          <w:tcPr>
            <w:tcW w:w="957" w:type="dxa"/>
          </w:tcPr>
          <w:p w:rsidR="00D70040" w:rsidRDefault="00D70040" w:rsidP="00217ED2">
            <w:pPr>
              <w:tabs>
                <w:tab w:val="decimal" w:pos="597"/>
                <w:tab w:val="left" w:pos="1440"/>
              </w:tabs>
              <w:rPr>
                <w:sz w:val="20"/>
              </w:rPr>
            </w:pPr>
            <w:r>
              <w:rPr>
                <w:sz w:val="20"/>
              </w:rPr>
              <w:tab/>
              <w:t>-1,304.76</w:t>
            </w:r>
          </w:p>
        </w:tc>
      </w:tr>
      <w:tr w:rsidR="00D70040" w:rsidTr="00217ED2">
        <w:tblPrEx>
          <w:tblCellMar>
            <w:top w:w="0" w:type="dxa"/>
            <w:left w:w="0" w:type="dxa"/>
            <w:bottom w:w="0" w:type="dxa"/>
            <w:right w:w="0" w:type="dxa"/>
          </w:tblCellMar>
        </w:tblPrEx>
        <w:tc>
          <w:tcPr>
            <w:tcW w:w="720" w:type="dxa"/>
          </w:tcPr>
          <w:p w:rsidR="00D70040" w:rsidRDefault="00D70040" w:rsidP="00217ED2">
            <w:pPr>
              <w:tabs>
                <w:tab w:val="left" w:pos="720"/>
                <w:tab w:val="left" w:pos="1440"/>
              </w:tabs>
              <w:jc w:val="right"/>
              <w:rPr>
                <w:sz w:val="20"/>
              </w:rPr>
            </w:pPr>
          </w:p>
        </w:tc>
        <w:tc>
          <w:tcPr>
            <w:tcW w:w="956" w:type="dxa"/>
          </w:tcPr>
          <w:p w:rsidR="00D70040" w:rsidRDefault="00D70040" w:rsidP="00217ED2">
            <w:pPr>
              <w:tabs>
                <w:tab w:val="left" w:pos="720"/>
                <w:tab w:val="left" w:pos="1440"/>
              </w:tabs>
              <w:jc w:val="right"/>
              <w:rPr>
                <w:sz w:val="20"/>
              </w:rPr>
            </w:pPr>
            <w:r>
              <w:rPr>
                <w:sz w:val="20"/>
              </w:rPr>
              <w:t xml:space="preserve">PV = </w:t>
            </w:r>
          </w:p>
        </w:tc>
        <w:tc>
          <w:tcPr>
            <w:tcW w:w="956" w:type="dxa"/>
          </w:tcPr>
          <w:p w:rsidR="00D70040" w:rsidRDefault="00D70040" w:rsidP="00217ED2">
            <w:pPr>
              <w:tabs>
                <w:tab w:val="decimal" w:pos="574"/>
                <w:tab w:val="left" w:pos="1440"/>
              </w:tabs>
              <w:rPr>
                <w:sz w:val="20"/>
              </w:rPr>
            </w:pPr>
            <w:r>
              <w:rPr>
                <w:sz w:val="20"/>
              </w:rPr>
              <w:tab/>
              <w:t>-0.31</w:t>
            </w:r>
          </w:p>
        </w:tc>
        <w:tc>
          <w:tcPr>
            <w:tcW w:w="956" w:type="dxa"/>
          </w:tcPr>
          <w:p w:rsidR="00D70040" w:rsidRDefault="00D70040" w:rsidP="00217ED2">
            <w:pPr>
              <w:tabs>
                <w:tab w:val="decimal" w:pos="608"/>
                <w:tab w:val="left" w:pos="1440"/>
              </w:tabs>
              <w:rPr>
                <w:sz w:val="20"/>
              </w:rPr>
            </w:pPr>
            <w:r>
              <w:rPr>
                <w:sz w:val="20"/>
              </w:rPr>
              <w:tab/>
              <w:t>500.00</w:t>
            </w:r>
          </w:p>
        </w:tc>
        <w:tc>
          <w:tcPr>
            <w:tcW w:w="957" w:type="dxa"/>
          </w:tcPr>
          <w:p w:rsidR="00D70040" w:rsidRDefault="00D70040" w:rsidP="00217ED2">
            <w:pPr>
              <w:tabs>
                <w:tab w:val="decimal" w:pos="642"/>
                <w:tab w:val="left" w:pos="1440"/>
              </w:tabs>
              <w:rPr>
                <w:sz w:val="20"/>
              </w:rPr>
            </w:pPr>
            <w:r>
              <w:rPr>
                <w:sz w:val="20"/>
              </w:rPr>
              <w:tab/>
              <w:t>482.35</w:t>
            </w:r>
          </w:p>
        </w:tc>
        <w:tc>
          <w:tcPr>
            <w:tcW w:w="956" w:type="dxa"/>
          </w:tcPr>
          <w:p w:rsidR="00D70040" w:rsidRDefault="00D70040" w:rsidP="00217ED2">
            <w:pPr>
              <w:tabs>
                <w:tab w:val="decimal" w:pos="585"/>
                <w:tab w:val="left" w:pos="1440"/>
              </w:tabs>
              <w:rPr>
                <w:sz w:val="20"/>
              </w:rPr>
            </w:pPr>
            <w:r>
              <w:rPr>
                <w:sz w:val="20"/>
              </w:rPr>
              <w:tab/>
              <w:t>437.99</w:t>
            </w:r>
          </w:p>
        </w:tc>
        <w:tc>
          <w:tcPr>
            <w:tcW w:w="956" w:type="dxa"/>
          </w:tcPr>
          <w:p w:rsidR="00D70040" w:rsidRDefault="00D70040" w:rsidP="00217ED2">
            <w:pPr>
              <w:tabs>
                <w:tab w:val="decimal" w:pos="619"/>
                <w:tab w:val="left" w:pos="1440"/>
              </w:tabs>
              <w:rPr>
                <w:sz w:val="20"/>
              </w:rPr>
            </w:pPr>
            <w:r>
              <w:rPr>
                <w:sz w:val="20"/>
              </w:rPr>
              <w:tab/>
              <w:t>379.64</w:t>
            </w:r>
          </w:p>
        </w:tc>
        <w:tc>
          <w:tcPr>
            <w:tcW w:w="956" w:type="dxa"/>
          </w:tcPr>
          <w:p w:rsidR="00D70040" w:rsidRDefault="00D70040" w:rsidP="00217ED2">
            <w:pPr>
              <w:tabs>
                <w:tab w:val="decimal" w:pos="563"/>
                <w:tab w:val="left" w:pos="1440"/>
              </w:tabs>
              <w:rPr>
                <w:sz w:val="20"/>
              </w:rPr>
            </w:pPr>
            <w:r>
              <w:rPr>
                <w:sz w:val="20"/>
              </w:rPr>
              <w:tab/>
              <w:t>312.00</w:t>
            </w:r>
          </w:p>
        </w:tc>
        <w:tc>
          <w:tcPr>
            <w:tcW w:w="957" w:type="dxa"/>
          </w:tcPr>
          <w:p w:rsidR="00D70040" w:rsidRDefault="00D70040" w:rsidP="00217ED2">
            <w:pPr>
              <w:tabs>
                <w:tab w:val="decimal" w:pos="597"/>
                <w:tab w:val="left" w:pos="1440"/>
              </w:tabs>
              <w:rPr>
                <w:sz w:val="20"/>
              </w:rPr>
            </w:pPr>
            <w:r>
              <w:rPr>
                <w:sz w:val="20"/>
              </w:rPr>
              <w:tab/>
              <w:t>-0.02</w:t>
            </w:r>
          </w:p>
        </w:tc>
      </w:tr>
    </w:tbl>
    <w:p w:rsidR="00D70040" w:rsidRDefault="00D70040" w:rsidP="00D70040">
      <w:pPr>
        <w:pStyle w:val="BodyTextIndent"/>
        <w:tabs>
          <w:tab w:val="clear" w:pos="720"/>
        </w:tabs>
        <w:spacing w:before="120"/>
      </w:pPr>
      <w:r>
        <w:tab/>
        <w:t>The two IRRs for this project are (approximately): –17.44% and 45.27%</w:t>
      </w:r>
    </w:p>
    <w:p w:rsidR="00D70040" w:rsidRDefault="00D70040" w:rsidP="00D70040">
      <w:pPr>
        <w:pStyle w:val="BodyTextIndent"/>
        <w:tabs>
          <w:tab w:val="clear" w:pos="720"/>
        </w:tabs>
      </w:pPr>
      <w:r>
        <w:tab/>
        <w:t>Between these two discount rates, the NPV is positive.</w:t>
      </w:r>
    </w:p>
    <w:p w:rsidR="00D70040" w:rsidRDefault="00D70040" w:rsidP="00D70040"/>
    <w:p w:rsidR="00D70040" w:rsidRDefault="00D70040" w:rsidP="00D70040">
      <w:pPr>
        <w:spacing w:line="120" w:lineRule="exact"/>
      </w:pPr>
    </w:p>
    <w:p w:rsidR="00D70040" w:rsidRDefault="00D70040" w:rsidP="00D70040">
      <w:pPr>
        <w:tabs>
          <w:tab w:val="left" w:pos="720"/>
        </w:tabs>
        <w:spacing w:line="360" w:lineRule="auto"/>
        <w:ind w:left="720" w:hanging="720"/>
      </w:pPr>
      <w:r>
        <w:t>11.</w:t>
      </w:r>
      <w:r>
        <w:tab/>
      </w:r>
      <w:proofErr w:type="gramStart"/>
      <w:r>
        <w:t>a</w:t>
      </w:r>
      <w:proofErr w:type="gramEnd"/>
      <w:r>
        <w:t>.</w:t>
      </w:r>
      <w:r>
        <w:tab/>
        <w:t>The figure on the next page was drawn from the following points:</w:t>
      </w:r>
    </w:p>
    <w:tbl>
      <w:tblPr>
        <w:tblW w:w="0" w:type="auto"/>
        <w:tblInd w:w="1368" w:type="dxa"/>
        <w:tblBorders>
          <w:top w:val="nil"/>
          <w:left w:val="nil"/>
          <w:bottom w:val="nil"/>
          <w:right w:val="nil"/>
          <w:insideH w:val="nil"/>
          <w:insideV w:val="nil"/>
        </w:tblBorders>
        <w:tblLayout w:type="fixed"/>
        <w:tblLook w:val="00AE"/>
      </w:tblPr>
      <w:tblGrid>
        <w:gridCol w:w="1188"/>
        <w:gridCol w:w="1314"/>
        <w:gridCol w:w="1314"/>
        <w:gridCol w:w="1314"/>
      </w:tblGrid>
      <w:tr w:rsidR="00D70040" w:rsidTr="00217ED2">
        <w:tblPrEx>
          <w:tblCellMar>
            <w:top w:w="0" w:type="dxa"/>
            <w:bottom w:w="0" w:type="dxa"/>
          </w:tblCellMar>
        </w:tblPrEx>
        <w:trPr>
          <w:cantSplit/>
        </w:trPr>
        <w:tc>
          <w:tcPr>
            <w:tcW w:w="1188" w:type="dxa"/>
          </w:tcPr>
          <w:p w:rsidR="00D70040" w:rsidRDefault="00D70040" w:rsidP="00217ED2">
            <w:pPr>
              <w:pStyle w:val="Header"/>
              <w:tabs>
                <w:tab w:val="clear" w:pos="4320"/>
                <w:tab w:val="clear" w:pos="8640"/>
              </w:tabs>
            </w:pPr>
          </w:p>
        </w:tc>
        <w:tc>
          <w:tcPr>
            <w:tcW w:w="3942" w:type="dxa"/>
            <w:gridSpan w:val="3"/>
            <w:tcBorders>
              <w:bottom w:val="single" w:sz="4" w:space="0" w:color="auto"/>
            </w:tcBorders>
          </w:tcPr>
          <w:p w:rsidR="00D70040" w:rsidRDefault="00D70040" w:rsidP="00217ED2">
            <w:pPr>
              <w:jc w:val="center"/>
            </w:pPr>
            <w:r>
              <w:t>Discount Rate</w:t>
            </w:r>
          </w:p>
        </w:tc>
      </w:tr>
      <w:tr w:rsidR="00D70040" w:rsidTr="00217ED2">
        <w:tblPrEx>
          <w:tblCellMar>
            <w:top w:w="0" w:type="dxa"/>
            <w:bottom w:w="0" w:type="dxa"/>
          </w:tblCellMar>
        </w:tblPrEx>
        <w:tc>
          <w:tcPr>
            <w:tcW w:w="1188" w:type="dxa"/>
            <w:tcBorders>
              <w:right w:val="nil"/>
            </w:tcBorders>
          </w:tcPr>
          <w:p w:rsidR="00D70040" w:rsidRDefault="00D70040" w:rsidP="00217ED2">
            <w:pPr>
              <w:pStyle w:val="Header"/>
              <w:tabs>
                <w:tab w:val="clear" w:pos="4320"/>
                <w:tab w:val="clear" w:pos="8640"/>
              </w:tabs>
            </w:pPr>
          </w:p>
        </w:tc>
        <w:tc>
          <w:tcPr>
            <w:tcW w:w="1314" w:type="dxa"/>
            <w:tcBorders>
              <w:top w:val="single" w:sz="4" w:space="0" w:color="auto"/>
              <w:left w:val="nil"/>
              <w:bottom w:val="single" w:sz="4" w:space="0" w:color="auto"/>
              <w:right w:val="nil"/>
            </w:tcBorders>
          </w:tcPr>
          <w:p w:rsidR="00D70040" w:rsidRDefault="00D70040" w:rsidP="00217ED2">
            <w:pPr>
              <w:jc w:val="center"/>
            </w:pPr>
            <w:r>
              <w:t>0%</w:t>
            </w:r>
          </w:p>
        </w:tc>
        <w:tc>
          <w:tcPr>
            <w:tcW w:w="1314" w:type="dxa"/>
            <w:tcBorders>
              <w:top w:val="single" w:sz="4" w:space="0" w:color="auto"/>
              <w:left w:val="nil"/>
              <w:bottom w:val="single" w:sz="4" w:space="0" w:color="auto"/>
            </w:tcBorders>
          </w:tcPr>
          <w:p w:rsidR="00D70040" w:rsidRDefault="00D70040" w:rsidP="00217ED2">
            <w:pPr>
              <w:jc w:val="center"/>
            </w:pPr>
            <w:r>
              <w:t>10%</w:t>
            </w:r>
          </w:p>
        </w:tc>
        <w:tc>
          <w:tcPr>
            <w:tcW w:w="1314" w:type="dxa"/>
            <w:tcBorders>
              <w:top w:val="single" w:sz="4" w:space="0" w:color="auto"/>
              <w:bottom w:val="single" w:sz="4" w:space="0" w:color="auto"/>
            </w:tcBorders>
          </w:tcPr>
          <w:p w:rsidR="00D70040" w:rsidRDefault="00D70040" w:rsidP="00217ED2">
            <w:pPr>
              <w:jc w:val="center"/>
            </w:pPr>
            <w:r>
              <w:t>20%</w:t>
            </w:r>
          </w:p>
        </w:tc>
      </w:tr>
      <w:tr w:rsidR="00D70040" w:rsidTr="00217ED2">
        <w:tblPrEx>
          <w:tblCellMar>
            <w:top w:w="0" w:type="dxa"/>
            <w:bottom w:w="0" w:type="dxa"/>
          </w:tblCellMar>
        </w:tblPrEx>
        <w:trPr>
          <w:trHeight w:hRule="exact" w:val="320"/>
        </w:trPr>
        <w:tc>
          <w:tcPr>
            <w:tcW w:w="1188" w:type="dxa"/>
          </w:tcPr>
          <w:p w:rsidR="00D70040" w:rsidRDefault="00D70040" w:rsidP="00217ED2">
            <w:pPr>
              <w:jc w:val="center"/>
              <w:rPr>
                <w:vertAlign w:val="subscript"/>
              </w:rPr>
            </w:pPr>
            <w:r>
              <w:t>NPV</w:t>
            </w:r>
            <w:r>
              <w:rPr>
                <w:vertAlign w:val="subscript"/>
              </w:rPr>
              <w:t>A</w:t>
            </w:r>
          </w:p>
        </w:tc>
        <w:tc>
          <w:tcPr>
            <w:tcW w:w="1314" w:type="dxa"/>
            <w:tcBorders>
              <w:top w:val="single" w:sz="4" w:space="0" w:color="auto"/>
            </w:tcBorders>
          </w:tcPr>
          <w:p w:rsidR="00D70040" w:rsidRDefault="00D70040" w:rsidP="00217ED2">
            <w:pPr>
              <w:pStyle w:val="Header"/>
              <w:tabs>
                <w:tab w:val="clear" w:pos="4320"/>
                <w:tab w:val="clear" w:pos="8640"/>
              </w:tabs>
              <w:jc w:val="center"/>
            </w:pPr>
            <w:r>
              <w:t>+20.00</w:t>
            </w:r>
          </w:p>
        </w:tc>
        <w:tc>
          <w:tcPr>
            <w:tcW w:w="1314" w:type="dxa"/>
            <w:tcBorders>
              <w:top w:val="single" w:sz="4" w:space="0" w:color="auto"/>
            </w:tcBorders>
          </w:tcPr>
          <w:p w:rsidR="00D70040" w:rsidRDefault="00D70040" w:rsidP="00217ED2">
            <w:pPr>
              <w:pStyle w:val="Header"/>
              <w:tabs>
                <w:tab w:val="clear" w:pos="4320"/>
                <w:tab w:val="clear" w:pos="8640"/>
              </w:tabs>
              <w:jc w:val="center"/>
            </w:pPr>
            <w:r>
              <w:t>+4.13</w:t>
            </w:r>
          </w:p>
        </w:tc>
        <w:tc>
          <w:tcPr>
            <w:tcW w:w="1314" w:type="dxa"/>
            <w:tcBorders>
              <w:top w:val="single" w:sz="4" w:space="0" w:color="auto"/>
            </w:tcBorders>
          </w:tcPr>
          <w:p w:rsidR="00D70040" w:rsidRDefault="00D70040" w:rsidP="00217ED2">
            <w:pPr>
              <w:pStyle w:val="Header"/>
              <w:tabs>
                <w:tab w:val="clear" w:pos="4320"/>
                <w:tab w:val="clear" w:pos="8640"/>
                <w:tab w:val="decimal" w:pos="486"/>
              </w:tabs>
            </w:pPr>
            <w:r>
              <w:t>-8.33</w:t>
            </w:r>
          </w:p>
        </w:tc>
      </w:tr>
      <w:tr w:rsidR="00D70040" w:rsidTr="00217ED2">
        <w:tblPrEx>
          <w:tblCellMar>
            <w:top w:w="0" w:type="dxa"/>
            <w:bottom w:w="0" w:type="dxa"/>
          </w:tblCellMar>
        </w:tblPrEx>
        <w:trPr>
          <w:trHeight w:hRule="exact" w:val="320"/>
        </w:trPr>
        <w:tc>
          <w:tcPr>
            <w:tcW w:w="1188" w:type="dxa"/>
          </w:tcPr>
          <w:p w:rsidR="00D70040" w:rsidRDefault="00D70040" w:rsidP="00217ED2">
            <w:pPr>
              <w:jc w:val="center"/>
            </w:pPr>
            <w:r>
              <w:t>NPV</w:t>
            </w:r>
            <w:r>
              <w:rPr>
                <w:vertAlign w:val="subscript"/>
              </w:rPr>
              <w:t>B</w:t>
            </w:r>
          </w:p>
        </w:tc>
        <w:tc>
          <w:tcPr>
            <w:tcW w:w="1314" w:type="dxa"/>
          </w:tcPr>
          <w:p w:rsidR="00D70040" w:rsidRDefault="00D70040" w:rsidP="00217ED2">
            <w:pPr>
              <w:jc w:val="center"/>
            </w:pPr>
            <w:r>
              <w:t>+40.00</w:t>
            </w:r>
          </w:p>
        </w:tc>
        <w:tc>
          <w:tcPr>
            <w:tcW w:w="1314" w:type="dxa"/>
          </w:tcPr>
          <w:p w:rsidR="00D70040" w:rsidRDefault="00D70040" w:rsidP="00217ED2">
            <w:pPr>
              <w:jc w:val="center"/>
            </w:pPr>
            <w:r>
              <w:t>+5.18</w:t>
            </w:r>
          </w:p>
        </w:tc>
        <w:tc>
          <w:tcPr>
            <w:tcW w:w="1314" w:type="dxa"/>
          </w:tcPr>
          <w:p w:rsidR="00D70040" w:rsidRDefault="00D70040" w:rsidP="00217ED2">
            <w:pPr>
              <w:tabs>
                <w:tab w:val="decimal" w:pos="486"/>
              </w:tabs>
            </w:pPr>
            <w:r>
              <w:t>-18.98</w:t>
            </w:r>
          </w:p>
        </w:tc>
      </w:tr>
      <w:tr w:rsidR="00D70040" w:rsidTr="00217ED2">
        <w:tblPrEx>
          <w:tblCellMar>
            <w:top w:w="0" w:type="dxa"/>
            <w:bottom w:w="0" w:type="dxa"/>
          </w:tblCellMar>
        </w:tblPrEx>
        <w:trPr>
          <w:trHeight w:hRule="exact" w:val="320"/>
        </w:trPr>
        <w:tc>
          <w:tcPr>
            <w:tcW w:w="1188" w:type="dxa"/>
          </w:tcPr>
          <w:p w:rsidR="00D70040" w:rsidRDefault="00D70040" w:rsidP="00217ED2"/>
        </w:tc>
        <w:tc>
          <w:tcPr>
            <w:tcW w:w="1314" w:type="dxa"/>
          </w:tcPr>
          <w:p w:rsidR="00D70040" w:rsidRDefault="00D70040" w:rsidP="00217ED2">
            <w:pPr>
              <w:tabs>
                <w:tab w:val="decimal" w:pos="774"/>
              </w:tabs>
            </w:pPr>
          </w:p>
        </w:tc>
        <w:tc>
          <w:tcPr>
            <w:tcW w:w="1314" w:type="dxa"/>
          </w:tcPr>
          <w:p w:rsidR="00D70040" w:rsidRDefault="00D70040" w:rsidP="00217ED2">
            <w:pPr>
              <w:tabs>
                <w:tab w:val="decimal" w:pos="792"/>
              </w:tabs>
            </w:pPr>
          </w:p>
        </w:tc>
        <w:tc>
          <w:tcPr>
            <w:tcW w:w="1314" w:type="dxa"/>
          </w:tcPr>
          <w:p w:rsidR="00D70040" w:rsidRDefault="00D70040" w:rsidP="00217ED2">
            <w:pPr>
              <w:tabs>
                <w:tab w:val="decimal" w:pos="882"/>
              </w:tabs>
            </w:pPr>
          </w:p>
        </w:tc>
      </w:tr>
    </w:tbl>
    <w:p w:rsidR="00D70040" w:rsidRDefault="00D70040" w:rsidP="00D70040">
      <w:pPr>
        <w:pStyle w:val="BodyTextIndent3"/>
        <w:numPr>
          <w:ilvl w:val="0"/>
          <w:numId w:val="2"/>
        </w:numPr>
        <w:tabs>
          <w:tab w:val="clear" w:pos="720"/>
          <w:tab w:val="clear" w:pos="1440"/>
        </w:tabs>
        <w:spacing w:after="120"/>
      </w:pPr>
      <w:r>
        <w:t>From the graph, we can estimate the IRR of each project from the point where its line crosses the horizontal axis:</w:t>
      </w:r>
    </w:p>
    <w:p w:rsidR="00D70040" w:rsidRDefault="00D70040" w:rsidP="00D70040">
      <w:pPr>
        <w:pStyle w:val="BodyTextIndent3"/>
        <w:tabs>
          <w:tab w:val="clear" w:pos="720"/>
          <w:tab w:val="clear" w:pos="1440"/>
        </w:tabs>
        <w:spacing w:after="120"/>
        <w:ind w:left="720" w:firstLine="0"/>
      </w:pPr>
      <w:r>
        <w:br w:type="page"/>
      </w:r>
      <w:r>
        <w:lastRenderedPageBreak/>
        <w:t>IRR</w:t>
      </w:r>
      <w:r>
        <w:rPr>
          <w:vertAlign w:val="subscript"/>
        </w:rPr>
        <w:t>A</w:t>
      </w:r>
      <w:r>
        <w:t xml:space="preserve"> = 13.1% and IRR</w:t>
      </w:r>
      <w:r>
        <w:rPr>
          <w:vertAlign w:val="subscript"/>
        </w:rPr>
        <w:t>B</w:t>
      </w:r>
      <w:r>
        <w:t xml:space="preserve"> = 11.9%</w:t>
      </w:r>
    </w:p>
    <w:p w:rsidR="00D70040" w:rsidRDefault="00D70040" w:rsidP="00D70040">
      <w:pPr>
        <w:numPr>
          <w:ilvl w:val="0"/>
          <w:numId w:val="2"/>
        </w:numPr>
        <w:tabs>
          <w:tab w:val="clear" w:pos="1440"/>
        </w:tabs>
      </w:pPr>
      <w:r>
        <w:t>The company should accept Project A if its NPV is positive and higher than that of Project B; that is, the company should accept Project A if the discount rate is greater than 10.7% (the intersection of NPV</w:t>
      </w:r>
      <w:r>
        <w:rPr>
          <w:vertAlign w:val="subscript"/>
        </w:rPr>
        <w:t>A</w:t>
      </w:r>
      <w:r>
        <w:t xml:space="preserve"> and NPV</w:t>
      </w:r>
      <w:r>
        <w:rPr>
          <w:vertAlign w:val="subscript"/>
        </w:rPr>
        <w:t>B</w:t>
      </w:r>
      <w:r>
        <w:t xml:space="preserve"> on the graph below) and less than 13.1%.</w:t>
      </w:r>
    </w:p>
    <w:p w:rsidR="00D70040" w:rsidRDefault="00D70040" w:rsidP="00D70040"/>
    <w:p w:rsidR="00D70040" w:rsidRDefault="00D70040" w:rsidP="00D70040">
      <w:pPr>
        <w:numPr>
          <w:ilvl w:val="0"/>
          <w:numId w:val="2"/>
        </w:numPr>
        <w:tabs>
          <w:tab w:val="clear" w:pos="1440"/>
        </w:tabs>
        <w:spacing w:line="360" w:lineRule="auto"/>
      </w:pPr>
      <w:r>
        <w:t>The cash flows for (B – A) are:</w:t>
      </w:r>
    </w:p>
    <w:p w:rsidR="00D70040" w:rsidRDefault="00D70040" w:rsidP="00D70040">
      <w:pPr>
        <w:tabs>
          <w:tab w:val="right" w:pos="3420"/>
        </w:tabs>
        <w:ind w:left="2160"/>
      </w:pPr>
      <w:r>
        <w:t>C</w:t>
      </w:r>
      <w:r>
        <w:rPr>
          <w:vertAlign w:val="subscript"/>
        </w:rPr>
        <w:t>0</w:t>
      </w:r>
      <w:r>
        <w:t xml:space="preserve"> = </w:t>
      </w:r>
      <w:r>
        <w:tab/>
      </w:r>
      <w:proofErr w:type="gramStart"/>
      <w:r>
        <w:t>$  0</w:t>
      </w:r>
      <w:proofErr w:type="gramEnd"/>
    </w:p>
    <w:p w:rsidR="00D70040" w:rsidRDefault="00D70040" w:rsidP="00D70040">
      <w:pPr>
        <w:tabs>
          <w:tab w:val="right" w:pos="3420"/>
        </w:tabs>
        <w:ind w:left="2160"/>
      </w:pPr>
      <w:r>
        <w:t>C</w:t>
      </w:r>
      <w:r>
        <w:rPr>
          <w:vertAlign w:val="subscript"/>
        </w:rPr>
        <w:t>1</w:t>
      </w:r>
      <w:r>
        <w:t xml:space="preserve"> = </w:t>
      </w:r>
      <w:r>
        <w:tab/>
        <w:t>–$60</w:t>
      </w:r>
    </w:p>
    <w:p w:rsidR="00D70040" w:rsidRDefault="00D70040" w:rsidP="00D70040">
      <w:pPr>
        <w:tabs>
          <w:tab w:val="right" w:pos="3420"/>
        </w:tabs>
        <w:ind w:left="2160"/>
      </w:pPr>
      <w:r>
        <w:t>C</w:t>
      </w:r>
      <w:r>
        <w:rPr>
          <w:vertAlign w:val="subscript"/>
        </w:rPr>
        <w:t>2</w:t>
      </w:r>
      <w:r>
        <w:t xml:space="preserve"> = </w:t>
      </w:r>
      <w:r>
        <w:tab/>
        <w:t>–$60</w:t>
      </w:r>
    </w:p>
    <w:p w:rsidR="00D70040" w:rsidRDefault="00D70040" w:rsidP="00D70040">
      <w:pPr>
        <w:tabs>
          <w:tab w:val="right" w:pos="3420"/>
        </w:tabs>
        <w:spacing w:line="360" w:lineRule="auto"/>
        <w:ind w:left="2160"/>
      </w:pPr>
      <w:r>
        <w:t>C</w:t>
      </w:r>
      <w:r>
        <w:rPr>
          <w:vertAlign w:val="subscript"/>
        </w:rPr>
        <w:t>3</w:t>
      </w:r>
      <w:r>
        <w:t xml:space="preserve"> = </w:t>
      </w:r>
      <w:r>
        <w:tab/>
        <w:t>+$140</w:t>
      </w:r>
    </w:p>
    <w:p w:rsidR="00D70040" w:rsidRDefault="00D70040" w:rsidP="00D70040">
      <w:pPr>
        <w:ind w:left="1440"/>
      </w:pPr>
      <w:r>
        <w:t>Therefore:</w:t>
      </w:r>
    </w:p>
    <w:tbl>
      <w:tblPr>
        <w:tblW w:w="0" w:type="auto"/>
        <w:tblInd w:w="1548" w:type="dxa"/>
        <w:tblBorders>
          <w:top w:val="nil"/>
          <w:left w:val="nil"/>
          <w:bottom w:val="nil"/>
          <w:right w:val="nil"/>
          <w:insideH w:val="nil"/>
          <w:insideV w:val="nil"/>
        </w:tblBorders>
        <w:tblLayout w:type="fixed"/>
        <w:tblLook w:val="00AE"/>
      </w:tblPr>
      <w:tblGrid>
        <w:gridCol w:w="1188"/>
        <w:gridCol w:w="1254"/>
        <w:gridCol w:w="1254"/>
        <w:gridCol w:w="1254"/>
      </w:tblGrid>
      <w:tr w:rsidR="00D70040" w:rsidTr="00217ED2">
        <w:tblPrEx>
          <w:tblCellMar>
            <w:top w:w="0" w:type="dxa"/>
            <w:bottom w:w="0" w:type="dxa"/>
          </w:tblCellMar>
        </w:tblPrEx>
        <w:trPr>
          <w:cantSplit/>
        </w:trPr>
        <w:tc>
          <w:tcPr>
            <w:tcW w:w="1188" w:type="dxa"/>
          </w:tcPr>
          <w:p w:rsidR="00D70040" w:rsidRDefault="00D70040" w:rsidP="00217ED2">
            <w:pPr>
              <w:pStyle w:val="Header"/>
              <w:tabs>
                <w:tab w:val="clear" w:pos="4320"/>
                <w:tab w:val="clear" w:pos="8640"/>
              </w:tabs>
            </w:pPr>
          </w:p>
        </w:tc>
        <w:tc>
          <w:tcPr>
            <w:tcW w:w="3762" w:type="dxa"/>
            <w:gridSpan w:val="3"/>
            <w:tcBorders>
              <w:bottom w:val="single" w:sz="4" w:space="0" w:color="auto"/>
            </w:tcBorders>
          </w:tcPr>
          <w:p w:rsidR="00D70040" w:rsidRDefault="00D70040" w:rsidP="00217ED2">
            <w:pPr>
              <w:jc w:val="center"/>
            </w:pPr>
            <w:r>
              <w:t>Discount Rate</w:t>
            </w:r>
          </w:p>
        </w:tc>
      </w:tr>
      <w:tr w:rsidR="00D70040" w:rsidTr="00217ED2">
        <w:tblPrEx>
          <w:tblCellMar>
            <w:top w:w="0" w:type="dxa"/>
            <w:bottom w:w="0" w:type="dxa"/>
          </w:tblCellMar>
        </w:tblPrEx>
        <w:trPr>
          <w:trHeight w:hRule="exact" w:val="320"/>
        </w:trPr>
        <w:tc>
          <w:tcPr>
            <w:tcW w:w="1188" w:type="dxa"/>
          </w:tcPr>
          <w:p w:rsidR="00D70040" w:rsidRDefault="00D70040" w:rsidP="00217ED2"/>
        </w:tc>
        <w:tc>
          <w:tcPr>
            <w:tcW w:w="1254" w:type="dxa"/>
            <w:tcBorders>
              <w:top w:val="single" w:sz="4" w:space="0" w:color="auto"/>
              <w:bottom w:val="single" w:sz="4" w:space="0" w:color="auto"/>
            </w:tcBorders>
          </w:tcPr>
          <w:p w:rsidR="00D70040" w:rsidRDefault="00D70040" w:rsidP="00217ED2">
            <w:pPr>
              <w:jc w:val="center"/>
            </w:pPr>
            <w:r>
              <w:t>0%</w:t>
            </w:r>
          </w:p>
        </w:tc>
        <w:tc>
          <w:tcPr>
            <w:tcW w:w="1254" w:type="dxa"/>
            <w:tcBorders>
              <w:top w:val="single" w:sz="4" w:space="0" w:color="auto"/>
              <w:bottom w:val="single" w:sz="4" w:space="0" w:color="auto"/>
            </w:tcBorders>
          </w:tcPr>
          <w:p w:rsidR="00D70040" w:rsidRDefault="00D70040" w:rsidP="00217ED2">
            <w:pPr>
              <w:jc w:val="center"/>
            </w:pPr>
            <w:r>
              <w:t>10%</w:t>
            </w:r>
          </w:p>
        </w:tc>
        <w:tc>
          <w:tcPr>
            <w:tcW w:w="1254" w:type="dxa"/>
            <w:tcBorders>
              <w:top w:val="single" w:sz="4" w:space="0" w:color="auto"/>
              <w:bottom w:val="single" w:sz="4" w:space="0" w:color="auto"/>
            </w:tcBorders>
          </w:tcPr>
          <w:p w:rsidR="00D70040" w:rsidRDefault="00D70040" w:rsidP="00217ED2">
            <w:pPr>
              <w:jc w:val="center"/>
            </w:pPr>
            <w:r>
              <w:t>20%</w:t>
            </w:r>
          </w:p>
        </w:tc>
      </w:tr>
      <w:tr w:rsidR="00D70040" w:rsidTr="00217ED2">
        <w:tblPrEx>
          <w:tblCellMar>
            <w:top w:w="0" w:type="dxa"/>
            <w:bottom w:w="0" w:type="dxa"/>
          </w:tblCellMar>
        </w:tblPrEx>
        <w:trPr>
          <w:trHeight w:hRule="exact" w:val="320"/>
        </w:trPr>
        <w:tc>
          <w:tcPr>
            <w:tcW w:w="1188" w:type="dxa"/>
          </w:tcPr>
          <w:p w:rsidR="00D70040" w:rsidRDefault="00D70040" w:rsidP="00217ED2">
            <w:pPr>
              <w:ind w:left="-108"/>
              <w:rPr>
                <w:vertAlign w:val="subscript"/>
              </w:rPr>
            </w:pPr>
            <w:r>
              <w:t>NPV</w:t>
            </w:r>
            <w:r>
              <w:rPr>
                <w:vertAlign w:val="subscript"/>
              </w:rPr>
              <w:t>B-A</w:t>
            </w:r>
          </w:p>
        </w:tc>
        <w:tc>
          <w:tcPr>
            <w:tcW w:w="1254" w:type="dxa"/>
            <w:tcBorders>
              <w:top w:val="single" w:sz="4" w:space="0" w:color="auto"/>
            </w:tcBorders>
          </w:tcPr>
          <w:p w:rsidR="00D70040" w:rsidRDefault="00D70040" w:rsidP="00217ED2">
            <w:pPr>
              <w:pStyle w:val="Header"/>
              <w:tabs>
                <w:tab w:val="clear" w:pos="4320"/>
                <w:tab w:val="clear" w:pos="8640"/>
              </w:tabs>
            </w:pPr>
            <w:r>
              <w:t>+20.00</w:t>
            </w:r>
          </w:p>
        </w:tc>
        <w:tc>
          <w:tcPr>
            <w:tcW w:w="1254" w:type="dxa"/>
            <w:tcBorders>
              <w:top w:val="single" w:sz="4" w:space="0" w:color="auto"/>
            </w:tcBorders>
          </w:tcPr>
          <w:p w:rsidR="00D70040" w:rsidRDefault="00D70040" w:rsidP="00217ED2">
            <w:pPr>
              <w:pStyle w:val="Header"/>
              <w:tabs>
                <w:tab w:val="clear" w:pos="4320"/>
                <w:tab w:val="clear" w:pos="8640"/>
              </w:tabs>
              <w:jc w:val="center"/>
            </w:pPr>
            <w:r>
              <w:t>+1.05</w:t>
            </w:r>
          </w:p>
        </w:tc>
        <w:tc>
          <w:tcPr>
            <w:tcW w:w="1254" w:type="dxa"/>
            <w:tcBorders>
              <w:top w:val="single" w:sz="4" w:space="0" w:color="auto"/>
            </w:tcBorders>
          </w:tcPr>
          <w:p w:rsidR="00D70040" w:rsidRDefault="00D70040" w:rsidP="00217ED2">
            <w:pPr>
              <w:pStyle w:val="Header"/>
              <w:tabs>
                <w:tab w:val="clear" w:pos="4320"/>
                <w:tab w:val="clear" w:pos="8640"/>
              </w:tabs>
              <w:jc w:val="center"/>
            </w:pPr>
            <w:r>
              <w:t>-10.65</w:t>
            </w:r>
          </w:p>
        </w:tc>
      </w:tr>
    </w:tbl>
    <w:p w:rsidR="00D70040" w:rsidRDefault="00D70040" w:rsidP="00D70040">
      <w:pPr>
        <w:spacing w:before="120" w:line="360" w:lineRule="auto"/>
        <w:ind w:left="1440"/>
      </w:pPr>
      <w:r>
        <w:t>IRR</w:t>
      </w:r>
      <w:r>
        <w:rPr>
          <w:vertAlign w:val="subscript"/>
        </w:rPr>
        <w:t>B-A</w:t>
      </w:r>
      <w:r>
        <w:t xml:space="preserve"> = 10.7%</w:t>
      </w:r>
    </w:p>
    <w:p w:rsidR="00D70040" w:rsidRDefault="00D70040" w:rsidP="00D70040">
      <w:pPr>
        <w:ind w:left="1440"/>
      </w:pPr>
      <w:r>
        <w:t>The company should accept Project A if the discount rate is greater than 10.7% and less than 13.1%.  As shown in the graph, for these discount rates, the IRR for the incremental investment is less than the opportunity cost of capital.</w:t>
      </w:r>
    </w:p>
    <w:p w:rsidR="00D70040" w:rsidRDefault="00D70040" w:rsidP="00D70040">
      <w:pPr>
        <w:pStyle w:val="Header"/>
        <w:tabs>
          <w:tab w:val="clear" w:pos="4320"/>
          <w:tab w:val="clear" w:pos="8640"/>
        </w:tabs>
      </w:pPr>
    </w:p>
    <w:p w:rsidR="00D70040" w:rsidRDefault="00D70040" w:rsidP="00D70040">
      <w:pPr>
        <w:pStyle w:val="Header"/>
        <w:tabs>
          <w:tab w:val="clear" w:pos="4320"/>
          <w:tab w:val="clear" w:pos="8640"/>
        </w:tabs>
      </w:pPr>
      <w:r>
        <w:rPr>
          <w:noProof/>
        </w:rPr>
        <w:drawing>
          <wp:anchor distT="0" distB="0" distL="114300" distR="114300" simplePos="0" relativeHeight="251660288" behindDoc="0" locked="0" layoutInCell="0" allowOverlap="1">
            <wp:simplePos x="0" y="0"/>
            <wp:positionH relativeFrom="column">
              <wp:posOffset>1097280</wp:posOffset>
            </wp:positionH>
            <wp:positionV relativeFrom="paragraph">
              <wp:posOffset>0</wp:posOffset>
            </wp:positionV>
            <wp:extent cx="4448810" cy="3258185"/>
            <wp:effectExtent l="0" t="0" r="0" b="0"/>
            <wp:wrapTopAndBottom/>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70040" w:rsidRDefault="00D70040" w:rsidP="00D70040">
      <w:pPr>
        <w:pStyle w:val="Header"/>
        <w:tabs>
          <w:tab w:val="clear" w:pos="4320"/>
          <w:tab w:val="clear" w:pos="8640"/>
        </w:tabs>
      </w:pPr>
      <w:r>
        <w:br w:type="page"/>
      </w:r>
      <w:r>
        <w:lastRenderedPageBreak/>
        <w:t>12.</w:t>
      </w:r>
      <w:r>
        <w:tab/>
      </w:r>
      <w:proofErr w:type="gramStart"/>
      <w:r>
        <w:t>a</w:t>
      </w:r>
      <w:proofErr w:type="gramEnd"/>
      <w:r>
        <w:t>.</w:t>
      </w:r>
      <w:r>
        <w:tab/>
        <w:t>Because Project A requires a larger capital outlay, it is possible that Project A has both a lower IRR and a higher NPV than Project B.  (In fact, NPV</w:t>
      </w:r>
      <w:r>
        <w:rPr>
          <w:vertAlign w:val="subscript"/>
        </w:rPr>
        <w:t>A</w:t>
      </w:r>
      <w:r>
        <w:t xml:space="preserve"> is greater than NPV</w:t>
      </w:r>
      <w:r>
        <w:rPr>
          <w:vertAlign w:val="subscript"/>
        </w:rPr>
        <w:t>B</w:t>
      </w:r>
      <w:r>
        <w:t xml:space="preserve"> for all discount rates less than 10 percent.)  Because the goal is to maximize shareholder wealth, NPV is the correct criterion.</w:t>
      </w:r>
    </w:p>
    <w:p w:rsidR="00D70040" w:rsidRDefault="00D70040" w:rsidP="00D70040">
      <w:pPr>
        <w:pStyle w:val="Header"/>
        <w:tabs>
          <w:tab w:val="clear" w:pos="4320"/>
          <w:tab w:val="clear" w:pos="8640"/>
        </w:tabs>
      </w:pPr>
    </w:p>
    <w:p w:rsidR="00D70040" w:rsidRDefault="00D70040" w:rsidP="00D70040">
      <w:pPr>
        <w:pStyle w:val="Header"/>
        <w:numPr>
          <w:ilvl w:val="0"/>
          <w:numId w:val="3"/>
        </w:numPr>
        <w:tabs>
          <w:tab w:val="clear" w:pos="1440"/>
          <w:tab w:val="clear" w:pos="4320"/>
          <w:tab w:val="clear" w:pos="8640"/>
        </w:tabs>
        <w:spacing w:after="120"/>
        <w:ind w:right="270"/>
      </w:pPr>
      <w:r>
        <w:t>To use the IRR criterion for mutually exclusive projects, calculate the IRR for the incremental cash flows:</w:t>
      </w:r>
    </w:p>
    <w:tbl>
      <w:tblPr>
        <w:tblW w:w="0" w:type="auto"/>
        <w:tblInd w:w="1458" w:type="dxa"/>
        <w:tblBorders>
          <w:top w:val="nil"/>
          <w:left w:val="nil"/>
          <w:bottom w:val="nil"/>
          <w:right w:val="nil"/>
          <w:insideH w:val="nil"/>
          <w:insideV w:val="nil"/>
        </w:tblBorders>
        <w:tblLayout w:type="fixed"/>
        <w:tblLook w:val="00BE"/>
      </w:tblPr>
      <w:tblGrid>
        <w:gridCol w:w="900"/>
        <w:gridCol w:w="1080"/>
        <w:gridCol w:w="1080"/>
        <w:gridCol w:w="1080"/>
        <w:gridCol w:w="1080"/>
      </w:tblGrid>
      <w:tr w:rsidR="00D70040" w:rsidTr="00217ED2">
        <w:tblPrEx>
          <w:tblCellMar>
            <w:top w:w="0" w:type="dxa"/>
            <w:bottom w:w="0" w:type="dxa"/>
          </w:tblCellMar>
        </w:tblPrEx>
        <w:trPr>
          <w:trHeight w:hRule="exact" w:val="360"/>
        </w:trPr>
        <w:tc>
          <w:tcPr>
            <w:tcW w:w="900" w:type="dxa"/>
          </w:tcPr>
          <w:p w:rsidR="00D70040" w:rsidRDefault="00D70040" w:rsidP="00217ED2">
            <w:pPr>
              <w:pStyle w:val="Header"/>
              <w:tabs>
                <w:tab w:val="clear" w:pos="4320"/>
                <w:tab w:val="clear" w:pos="8640"/>
              </w:tabs>
              <w:jc w:val="center"/>
              <w:rPr>
                <w:u w:val="single"/>
              </w:rPr>
            </w:pPr>
          </w:p>
        </w:tc>
        <w:tc>
          <w:tcPr>
            <w:tcW w:w="1080" w:type="dxa"/>
            <w:tcBorders>
              <w:bottom w:val="single" w:sz="4" w:space="0" w:color="auto"/>
            </w:tcBorders>
          </w:tcPr>
          <w:p w:rsidR="00D70040" w:rsidRDefault="00D70040" w:rsidP="00217ED2">
            <w:pPr>
              <w:pStyle w:val="Header"/>
              <w:tabs>
                <w:tab w:val="clear" w:pos="4320"/>
                <w:tab w:val="clear" w:pos="8640"/>
              </w:tabs>
              <w:jc w:val="center"/>
              <w:rPr>
                <w:vertAlign w:val="subscript"/>
              </w:rPr>
            </w:pPr>
            <w:r>
              <w:t>C</w:t>
            </w:r>
            <w:r>
              <w:rPr>
                <w:vertAlign w:val="subscript"/>
              </w:rPr>
              <w:t>0</w:t>
            </w:r>
          </w:p>
        </w:tc>
        <w:tc>
          <w:tcPr>
            <w:tcW w:w="1080" w:type="dxa"/>
            <w:tcBorders>
              <w:bottom w:val="single" w:sz="4" w:space="0" w:color="auto"/>
            </w:tcBorders>
          </w:tcPr>
          <w:p w:rsidR="00D70040" w:rsidRDefault="00D70040" w:rsidP="00217ED2">
            <w:pPr>
              <w:pStyle w:val="Header"/>
              <w:tabs>
                <w:tab w:val="clear" w:pos="4320"/>
                <w:tab w:val="clear" w:pos="8640"/>
              </w:tabs>
              <w:jc w:val="center"/>
              <w:rPr>
                <w:vertAlign w:val="subscript"/>
              </w:rPr>
            </w:pPr>
            <w:r>
              <w:t>C</w:t>
            </w:r>
            <w:r>
              <w:rPr>
                <w:vertAlign w:val="subscript"/>
              </w:rPr>
              <w:t>1</w:t>
            </w:r>
          </w:p>
        </w:tc>
        <w:tc>
          <w:tcPr>
            <w:tcW w:w="1080" w:type="dxa"/>
            <w:tcBorders>
              <w:bottom w:val="single" w:sz="4" w:space="0" w:color="auto"/>
            </w:tcBorders>
          </w:tcPr>
          <w:p w:rsidR="00D70040" w:rsidRDefault="00D70040" w:rsidP="00217ED2">
            <w:pPr>
              <w:pStyle w:val="Header"/>
              <w:tabs>
                <w:tab w:val="clear" w:pos="4320"/>
                <w:tab w:val="clear" w:pos="8640"/>
              </w:tabs>
              <w:jc w:val="center"/>
              <w:rPr>
                <w:vertAlign w:val="subscript"/>
              </w:rPr>
            </w:pPr>
            <w:r>
              <w:t>C</w:t>
            </w:r>
            <w:r>
              <w:rPr>
                <w:vertAlign w:val="subscript"/>
              </w:rPr>
              <w:t>2</w:t>
            </w:r>
          </w:p>
        </w:tc>
        <w:tc>
          <w:tcPr>
            <w:tcW w:w="1080" w:type="dxa"/>
            <w:tcBorders>
              <w:bottom w:val="single" w:sz="4" w:space="0" w:color="auto"/>
            </w:tcBorders>
          </w:tcPr>
          <w:p w:rsidR="00D70040" w:rsidRDefault="00D70040" w:rsidP="00217ED2">
            <w:pPr>
              <w:pStyle w:val="Header"/>
              <w:tabs>
                <w:tab w:val="clear" w:pos="4320"/>
                <w:tab w:val="clear" w:pos="8640"/>
              </w:tabs>
              <w:jc w:val="center"/>
            </w:pPr>
            <w:r>
              <w:t>IRR</w:t>
            </w:r>
          </w:p>
        </w:tc>
      </w:tr>
      <w:tr w:rsidR="00D70040" w:rsidTr="00217ED2">
        <w:tblPrEx>
          <w:tblCellMar>
            <w:top w:w="0" w:type="dxa"/>
            <w:bottom w:w="0" w:type="dxa"/>
          </w:tblCellMar>
        </w:tblPrEx>
        <w:trPr>
          <w:trHeight w:hRule="exact" w:val="360"/>
        </w:trPr>
        <w:tc>
          <w:tcPr>
            <w:tcW w:w="900" w:type="dxa"/>
          </w:tcPr>
          <w:p w:rsidR="00D70040" w:rsidRDefault="00D70040" w:rsidP="00217ED2">
            <w:pPr>
              <w:pStyle w:val="Header"/>
              <w:tabs>
                <w:tab w:val="clear" w:pos="4320"/>
                <w:tab w:val="clear" w:pos="8640"/>
              </w:tabs>
              <w:jc w:val="center"/>
            </w:pPr>
            <w:r>
              <w:t>A - B</w:t>
            </w:r>
          </w:p>
        </w:tc>
        <w:tc>
          <w:tcPr>
            <w:tcW w:w="1080" w:type="dxa"/>
            <w:tcBorders>
              <w:top w:val="single" w:sz="4" w:space="0" w:color="auto"/>
            </w:tcBorders>
          </w:tcPr>
          <w:p w:rsidR="00D70040" w:rsidRDefault="00D70040" w:rsidP="00217ED2">
            <w:pPr>
              <w:pStyle w:val="Header"/>
              <w:tabs>
                <w:tab w:val="clear" w:pos="4320"/>
                <w:tab w:val="clear" w:pos="8640"/>
              </w:tabs>
              <w:jc w:val="center"/>
            </w:pPr>
            <w:r>
              <w:t>-200</w:t>
            </w:r>
          </w:p>
        </w:tc>
        <w:tc>
          <w:tcPr>
            <w:tcW w:w="1080" w:type="dxa"/>
            <w:tcBorders>
              <w:top w:val="single" w:sz="4" w:space="0" w:color="auto"/>
            </w:tcBorders>
          </w:tcPr>
          <w:p w:rsidR="00D70040" w:rsidRDefault="00D70040" w:rsidP="00217ED2">
            <w:pPr>
              <w:pStyle w:val="Header"/>
              <w:tabs>
                <w:tab w:val="clear" w:pos="4320"/>
                <w:tab w:val="clear" w:pos="8640"/>
              </w:tabs>
              <w:jc w:val="center"/>
            </w:pPr>
            <w:r>
              <w:t>+110</w:t>
            </w:r>
          </w:p>
        </w:tc>
        <w:tc>
          <w:tcPr>
            <w:tcW w:w="1080" w:type="dxa"/>
            <w:tcBorders>
              <w:top w:val="single" w:sz="4" w:space="0" w:color="auto"/>
            </w:tcBorders>
          </w:tcPr>
          <w:p w:rsidR="00D70040" w:rsidRDefault="00D70040" w:rsidP="00217ED2">
            <w:pPr>
              <w:pStyle w:val="Header"/>
              <w:tabs>
                <w:tab w:val="clear" w:pos="4320"/>
                <w:tab w:val="clear" w:pos="8640"/>
              </w:tabs>
              <w:jc w:val="center"/>
            </w:pPr>
            <w:r>
              <w:t>+121</w:t>
            </w:r>
          </w:p>
        </w:tc>
        <w:tc>
          <w:tcPr>
            <w:tcW w:w="1080" w:type="dxa"/>
            <w:tcBorders>
              <w:top w:val="single" w:sz="4" w:space="0" w:color="auto"/>
            </w:tcBorders>
          </w:tcPr>
          <w:p w:rsidR="00D70040" w:rsidRDefault="00D70040" w:rsidP="00217ED2">
            <w:pPr>
              <w:pStyle w:val="Header"/>
              <w:tabs>
                <w:tab w:val="clear" w:pos="4320"/>
                <w:tab w:val="clear" w:pos="8640"/>
              </w:tabs>
              <w:jc w:val="center"/>
            </w:pPr>
            <w:r>
              <w:t>10%</w:t>
            </w:r>
          </w:p>
        </w:tc>
      </w:tr>
    </w:tbl>
    <w:p w:rsidR="00D70040" w:rsidRDefault="00D70040" w:rsidP="00D70040">
      <w:pPr>
        <w:pStyle w:val="Header"/>
        <w:tabs>
          <w:tab w:val="clear" w:pos="4320"/>
          <w:tab w:val="clear" w:pos="8640"/>
        </w:tabs>
        <w:spacing w:after="240"/>
        <w:ind w:left="1440"/>
      </w:pPr>
      <w:r>
        <w:t>Because the IRR for the incremental cash flows exceeds the cost of capital, the additional investment in A is worthwhile.</w:t>
      </w:r>
    </w:p>
    <w:p w:rsidR="00D70040" w:rsidRDefault="00D70040" w:rsidP="00D70040">
      <w:pPr>
        <w:pStyle w:val="Header"/>
        <w:tabs>
          <w:tab w:val="clear" w:pos="4320"/>
          <w:tab w:val="clear" w:pos="8640"/>
        </w:tabs>
        <w:spacing w:line="360" w:lineRule="auto"/>
        <w:ind w:left="1440" w:hanging="720"/>
      </w:pPr>
      <w:r>
        <w:rPr>
          <w:noProof/>
        </w:rPr>
        <w:t>c.</w:t>
      </w:r>
      <w:r>
        <w:rPr>
          <w:noProof/>
        </w:rPr>
        <w:tab/>
      </w:r>
      <w:r w:rsidRPr="001A783C">
        <w:rPr>
          <w:noProof/>
          <w:position w:val="-30"/>
        </w:rPr>
        <w:object w:dxaOrig="4400" w:dyaOrig="680">
          <v:shape id="_x0000_i1031" type="#_x0000_t75" style="width:219.75pt;height:33.75pt" o:ole="" fillcolor="window">
            <v:imagedata r:id="rId19" o:title=""/>
          </v:shape>
          <o:OLEObject Type="Embed" ProgID="Equation.3" ShapeID="_x0000_i1031" DrawAspect="Content" ObjectID="_1355989898" r:id="rId20"/>
        </w:object>
      </w:r>
    </w:p>
    <w:p w:rsidR="00D70040" w:rsidRDefault="00D70040" w:rsidP="00D70040">
      <w:pPr>
        <w:pStyle w:val="Header"/>
        <w:tabs>
          <w:tab w:val="clear" w:pos="4320"/>
          <w:tab w:val="clear" w:pos="8640"/>
        </w:tabs>
        <w:ind w:left="1440"/>
      </w:pPr>
      <w:r w:rsidRPr="001A783C">
        <w:rPr>
          <w:noProof/>
          <w:position w:val="-30"/>
        </w:rPr>
        <w:object w:dxaOrig="4480" w:dyaOrig="680">
          <v:shape id="_x0000_i1032" type="#_x0000_t75" style="width:224.25pt;height:33.75pt" o:ole="" fillcolor="window">
            <v:imagedata r:id="rId21" o:title=""/>
          </v:shape>
          <o:OLEObject Type="Embed" ProgID="Equation.3" ShapeID="_x0000_i1032" DrawAspect="Content" ObjectID="_1355989899" r:id="rId22"/>
        </w:object>
      </w:r>
    </w:p>
    <w:p w:rsidR="00D70040" w:rsidRDefault="00D70040" w:rsidP="00D70040">
      <w:pPr>
        <w:pStyle w:val="Header"/>
        <w:tabs>
          <w:tab w:val="clear" w:pos="4320"/>
          <w:tab w:val="clear" w:pos="8640"/>
        </w:tabs>
        <w:ind w:left="720" w:hanging="720"/>
      </w:pPr>
    </w:p>
    <w:p w:rsidR="00D70040" w:rsidRDefault="00D70040" w:rsidP="00D70040">
      <w:pPr>
        <w:pStyle w:val="Header"/>
        <w:tabs>
          <w:tab w:val="clear" w:pos="4320"/>
          <w:tab w:val="clear" w:pos="8640"/>
        </w:tabs>
        <w:ind w:left="720" w:hanging="720"/>
      </w:pPr>
    </w:p>
    <w:p w:rsidR="00D70040" w:rsidRDefault="00D70040" w:rsidP="00D70040">
      <w:pPr>
        <w:pStyle w:val="Header"/>
        <w:tabs>
          <w:tab w:val="clear" w:pos="4320"/>
          <w:tab w:val="clear" w:pos="8640"/>
        </w:tabs>
        <w:ind w:left="720" w:hanging="720"/>
      </w:pPr>
      <w:r>
        <w:t>13.</w:t>
      </w:r>
      <w:r>
        <w:tab/>
        <w:t>Use incremental analysis:</w:t>
      </w:r>
    </w:p>
    <w:tbl>
      <w:tblPr>
        <w:tblW w:w="0" w:type="auto"/>
        <w:tblInd w:w="738" w:type="dxa"/>
        <w:tblBorders>
          <w:top w:val="nil"/>
          <w:left w:val="nil"/>
          <w:bottom w:val="nil"/>
          <w:right w:val="nil"/>
          <w:insideH w:val="nil"/>
          <w:insideV w:val="nil"/>
        </w:tblBorders>
        <w:tblLayout w:type="fixed"/>
        <w:tblLook w:val="00BE"/>
      </w:tblPr>
      <w:tblGrid>
        <w:gridCol w:w="2578"/>
        <w:gridCol w:w="1292"/>
        <w:gridCol w:w="1350"/>
        <w:gridCol w:w="1260"/>
      </w:tblGrid>
      <w:tr w:rsidR="00D70040" w:rsidTr="00217ED2">
        <w:tblPrEx>
          <w:tblCellMar>
            <w:top w:w="0" w:type="dxa"/>
            <w:bottom w:w="0" w:type="dxa"/>
          </w:tblCellMar>
        </w:tblPrEx>
        <w:trPr>
          <w:cantSplit/>
        </w:trPr>
        <w:tc>
          <w:tcPr>
            <w:tcW w:w="2578" w:type="dxa"/>
          </w:tcPr>
          <w:p w:rsidR="00D70040" w:rsidRDefault="00D70040" w:rsidP="00217ED2">
            <w:pPr>
              <w:pStyle w:val="Header"/>
              <w:tabs>
                <w:tab w:val="clear" w:pos="4320"/>
                <w:tab w:val="clear" w:pos="8640"/>
              </w:tabs>
              <w:jc w:val="center"/>
              <w:rPr>
                <w:u w:val="single"/>
              </w:rPr>
            </w:pPr>
          </w:p>
        </w:tc>
        <w:tc>
          <w:tcPr>
            <w:tcW w:w="1292" w:type="dxa"/>
            <w:tcBorders>
              <w:bottom w:val="single" w:sz="4" w:space="0" w:color="auto"/>
            </w:tcBorders>
          </w:tcPr>
          <w:p w:rsidR="00D70040" w:rsidRDefault="00D70040" w:rsidP="00217ED2">
            <w:pPr>
              <w:pStyle w:val="Header"/>
              <w:tabs>
                <w:tab w:val="clear" w:pos="4320"/>
                <w:tab w:val="clear" w:pos="8640"/>
              </w:tabs>
              <w:jc w:val="center"/>
              <w:rPr>
                <w:vertAlign w:val="subscript"/>
              </w:rPr>
            </w:pPr>
            <w:r>
              <w:t>C</w:t>
            </w:r>
            <w:r>
              <w:rPr>
                <w:vertAlign w:val="subscript"/>
              </w:rPr>
              <w:t>1</w:t>
            </w:r>
          </w:p>
        </w:tc>
        <w:tc>
          <w:tcPr>
            <w:tcW w:w="1350" w:type="dxa"/>
            <w:tcBorders>
              <w:bottom w:val="single" w:sz="4" w:space="0" w:color="auto"/>
            </w:tcBorders>
          </w:tcPr>
          <w:p w:rsidR="00D70040" w:rsidRDefault="00D70040" w:rsidP="00217ED2">
            <w:pPr>
              <w:pStyle w:val="Header"/>
              <w:tabs>
                <w:tab w:val="clear" w:pos="4320"/>
                <w:tab w:val="clear" w:pos="8640"/>
              </w:tabs>
              <w:jc w:val="center"/>
              <w:rPr>
                <w:vertAlign w:val="subscript"/>
              </w:rPr>
            </w:pPr>
            <w:r>
              <w:t>C</w:t>
            </w:r>
            <w:r>
              <w:rPr>
                <w:vertAlign w:val="subscript"/>
              </w:rPr>
              <w:t>2</w:t>
            </w:r>
          </w:p>
        </w:tc>
        <w:tc>
          <w:tcPr>
            <w:tcW w:w="1260" w:type="dxa"/>
            <w:tcBorders>
              <w:bottom w:val="single" w:sz="4" w:space="0" w:color="auto"/>
            </w:tcBorders>
          </w:tcPr>
          <w:p w:rsidR="00D70040" w:rsidRDefault="00D70040" w:rsidP="00217ED2">
            <w:pPr>
              <w:pStyle w:val="Header"/>
              <w:tabs>
                <w:tab w:val="clear" w:pos="4320"/>
                <w:tab w:val="clear" w:pos="8640"/>
              </w:tabs>
              <w:jc w:val="center"/>
              <w:rPr>
                <w:vertAlign w:val="subscript"/>
              </w:rPr>
            </w:pPr>
            <w:r>
              <w:t>C</w:t>
            </w:r>
            <w:r>
              <w:rPr>
                <w:vertAlign w:val="subscript"/>
              </w:rPr>
              <w:t>3</w:t>
            </w:r>
          </w:p>
        </w:tc>
      </w:tr>
      <w:tr w:rsidR="00D70040" w:rsidTr="00217ED2">
        <w:tblPrEx>
          <w:tblCellMar>
            <w:top w:w="0" w:type="dxa"/>
            <w:bottom w:w="0" w:type="dxa"/>
          </w:tblCellMar>
        </w:tblPrEx>
        <w:trPr>
          <w:cantSplit/>
        </w:trPr>
        <w:tc>
          <w:tcPr>
            <w:tcW w:w="2578" w:type="dxa"/>
          </w:tcPr>
          <w:p w:rsidR="00D70040" w:rsidRDefault="00D70040" w:rsidP="00217ED2">
            <w:pPr>
              <w:pStyle w:val="Header"/>
              <w:tabs>
                <w:tab w:val="clear" w:pos="4320"/>
                <w:tab w:val="clear" w:pos="8640"/>
              </w:tabs>
            </w:pPr>
            <w:r>
              <w:t>Current arrangement</w:t>
            </w:r>
          </w:p>
        </w:tc>
        <w:tc>
          <w:tcPr>
            <w:tcW w:w="1292" w:type="dxa"/>
            <w:tcBorders>
              <w:top w:val="single" w:sz="4" w:space="0" w:color="auto"/>
            </w:tcBorders>
          </w:tcPr>
          <w:p w:rsidR="00D70040" w:rsidRDefault="00D70040" w:rsidP="00217ED2">
            <w:pPr>
              <w:pStyle w:val="Header"/>
              <w:tabs>
                <w:tab w:val="clear" w:pos="4320"/>
                <w:tab w:val="clear" w:pos="8640"/>
              </w:tabs>
              <w:jc w:val="center"/>
            </w:pPr>
            <w:r>
              <w:t>-250,000</w:t>
            </w:r>
          </w:p>
        </w:tc>
        <w:tc>
          <w:tcPr>
            <w:tcW w:w="1350" w:type="dxa"/>
            <w:tcBorders>
              <w:top w:val="single" w:sz="4" w:space="0" w:color="auto"/>
            </w:tcBorders>
          </w:tcPr>
          <w:p w:rsidR="00D70040" w:rsidRDefault="00D70040" w:rsidP="00217ED2">
            <w:pPr>
              <w:pStyle w:val="Header"/>
              <w:tabs>
                <w:tab w:val="clear" w:pos="4320"/>
                <w:tab w:val="clear" w:pos="8640"/>
              </w:tabs>
              <w:jc w:val="center"/>
            </w:pPr>
            <w:r>
              <w:t xml:space="preserve"> -250,000</w:t>
            </w:r>
          </w:p>
        </w:tc>
        <w:tc>
          <w:tcPr>
            <w:tcW w:w="1260" w:type="dxa"/>
            <w:tcBorders>
              <w:top w:val="single" w:sz="4" w:space="0" w:color="auto"/>
            </w:tcBorders>
          </w:tcPr>
          <w:p w:rsidR="00D70040" w:rsidRDefault="00D70040" w:rsidP="00217ED2">
            <w:pPr>
              <w:pStyle w:val="Header"/>
              <w:tabs>
                <w:tab w:val="clear" w:pos="4320"/>
                <w:tab w:val="clear" w:pos="8640"/>
              </w:tabs>
              <w:jc w:val="center"/>
            </w:pPr>
            <w:r>
              <w:t>+650,000</w:t>
            </w:r>
          </w:p>
        </w:tc>
      </w:tr>
      <w:tr w:rsidR="00D70040" w:rsidTr="00217ED2">
        <w:tblPrEx>
          <w:tblCellMar>
            <w:top w:w="0" w:type="dxa"/>
            <w:bottom w:w="0" w:type="dxa"/>
          </w:tblCellMar>
        </w:tblPrEx>
        <w:trPr>
          <w:cantSplit/>
        </w:trPr>
        <w:tc>
          <w:tcPr>
            <w:tcW w:w="2578" w:type="dxa"/>
          </w:tcPr>
          <w:p w:rsidR="00D70040" w:rsidRDefault="00D70040" w:rsidP="00217ED2">
            <w:pPr>
              <w:pStyle w:val="Header"/>
              <w:tabs>
                <w:tab w:val="clear" w:pos="4320"/>
                <w:tab w:val="clear" w:pos="8640"/>
              </w:tabs>
            </w:pPr>
            <w:r>
              <w:t>Extra shift</w:t>
            </w:r>
          </w:p>
        </w:tc>
        <w:tc>
          <w:tcPr>
            <w:tcW w:w="1292" w:type="dxa"/>
          </w:tcPr>
          <w:p w:rsidR="00D70040" w:rsidRDefault="00D70040" w:rsidP="00217ED2">
            <w:pPr>
              <w:pStyle w:val="Header"/>
              <w:tabs>
                <w:tab w:val="clear" w:pos="4320"/>
                <w:tab w:val="clear" w:pos="8640"/>
              </w:tabs>
              <w:jc w:val="center"/>
            </w:pPr>
            <w:r>
              <w:t>-550,000</w:t>
            </w:r>
          </w:p>
        </w:tc>
        <w:tc>
          <w:tcPr>
            <w:tcW w:w="1350" w:type="dxa"/>
          </w:tcPr>
          <w:p w:rsidR="00D70040" w:rsidRDefault="00D70040" w:rsidP="00217ED2">
            <w:pPr>
              <w:pStyle w:val="Header"/>
              <w:tabs>
                <w:tab w:val="clear" w:pos="4320"/>
                <w:tab w:val="clear" w:pos="8640"/>
              </w:tabs>
              <w:jc w:val="center"/>
            </w:pPr>
            <w:r>
              <w:t>+650,000</w:t>
            </w:r>
          </w:p>
        </w:tc>
        <w:tc>
          <w:tcPr>
            <w:tcW w:w="1260" w:type="dxa"/>
          </w:tcPr>
          <w:p w:rsidR="00D70040" w:rsidRDefault="00D70040" w:rsidP="00217ED2">
            <w:pPr>
              <w:pStyle w:val="Header"/>
              <w:tabs>
                <w:tab w:val="clear" w:pos="4320"/>
                <w:tab w:val="clear" w:pos="8640"/>
              </w:tabs>
              <w:jc w:val="center"/>
            </w:pPr>
            <w:r>
              <w:t>0</w:t>
            </w:r>
          </w:p>
        </w:tc>
      </w:tr>
      <w:tr w:rsidR="00D70040" w:rsidTr="00217ED2">
        <w:tblPrEx>
          <w:tblCellMar>
            <w:top w:w="0" w:type="dxa"/>
            <w:bottom w:w="0" w:type="dxa"/>
          </w:tblCellMar>
        </w:tblPrEx>
        <w:trPr>
          <w:cantSplit/>
        </w:trPr>
        <w:tc>
          <w:tcPr>
            <w:tcW w:w="2578" w:type="dxa"/>
          </w:tcPr>
          <w:p w:rsidR="00D70040" w:rsidRDefault="00D70040" w:rsidP="00217ED2">
            <w:pPr>
              <w:pStyle w:val="Header"/>
              <w:tabs>
                <w:tab w:val="clear" w:pos="4320"/>
                <w:tab w:val="clear" w:pos="8640"/>
              </w:tabs>
            </w:pPr>
            <w:r>
              <w:t>Incremental flows</w:t>
            </w:r>
          </w:p>
        </w:tc>
        <w:tc>
          <w:tcPr>
            <w:tcW w:w="1292" w:type="dxa"/>
          </w:tcPr>
          <w:p w:rsidR="00D70040" w:rsidRDefault="00D70040" w:rsidP="00217ED2">
            <w:pPr>
              <w:pStyle w:val="Header"/>
              <w:tabs>
                <w:tab w:val="clear" w:pos="4320"/>
                <w:tab w:val="clear" w:pos="8640"/>
              </w:tabs>
              <w:jc w:val="center"/>
            </w:pPr>
            <w:r>
              <w:t>-300,000</w:t>
            </w:r>
          </w:p>
        </w:tc>
        <w:tc>
          <w:tcPr>
            <w:tcW w:w="1350" w:type="dxa"/>
          </w:tcPr>
          <w:p w:rsidR="00D70040" w:rsidRDefault="00D70040" w:rsidP="00217ED2">
            <w:pPr>
              <w:pStyle w:val="Header"/>
              <w:tabs>
                <w:tab w:val="clear" w:pos="4320"/>
                <w:tab w:val="clear" w:pos="8640"/>
              </w:tabs>
              <w:jc w:val="center"/>
            </w:pPr>
            <w:r>
              <w:t>+900,000</w:t>
            </w:r>
          </w:p>
        </w:tc>
        <w:tc>
          <w:tcPr>
            <w:tcW w:w="1260" w:type="dxa"/>
          </w:tcPr>
          <w:p w:rsidR="00D70040" w:rsidRDefault="00D70040" w:rsidP="00217ED2">
            <w:pPr>
              <w:pStyle w:val="Header"/>
              <w:tabs>
                <w:tab w:val="clear" w:pos="4320"/>
                <w:tab w:val="clear" w:pos="8640"/>
              </w:tabs>
              <w:jc w:val="center"/>
            </w:pPr>
            <w:r>
              <w:t>-650,000</w:t>
            </w:r>
          </w:p>
        </w:tc>
      </w:tr>
    </w:tbl>
    <w:p w:rsidR="00D70040" w:rsidRDefault="00D70040" w:rsidP="00D70040">
      <w:pPr>
        <w:pStyle w:val="Header"/>
        <w:tabs>
          <w:tab w:val="clear" w:pos="4320"/>
          <w:tab w:val="clear" w:pos="8640"/>
        </w:tabs>
        <w:spacing w:before="120"/>
        <w:ind w:left="720"/>
      </w:pPr>
      <w:r>
        <w:t xml:space="preserve">The IRRs for the incremental flows are (approximately): 21.13% </w:t>
      </w:r>
      <w:r>
        <w:rPr>
          <w:i/>
        </w:rPr>
        <w:t>and</w:t>
      </w:r>
      <w:r>
        <w:t xml:space="preserve"> 78.87%</w:t>
      </w:r>
    </w:p>
    <w:p w:rsidR="00D70040" w:rsidRDefault="00D70040" w:rsidP="00D70040">
      <w:pPr>
        <w:pStyle w:val="Header"/>
        <w:tabs>
          <w:tab w:val="clear" w:pos="4320"/>
          <w:tab w:val="clear" w:pos="8640"/>
        </w:tabs>
        <w:ind w:left="720"/>
      </w:pPr>
      <w:r>
        <w:t>If the cost of capital is between these rates, Titanic should work the extra shift.</w:t>
      </w:r>
    </w:p>
    <w:p w:rsidR="00D70040" w:rsidRDefault="00D70040" w:rsidP="00D70040">
      <w:pPr>
        <w:pStyle w:val="Header"/>
        <w:tabs>
          <w:tab w:val="clear" w:pos="4320"/>
          <w:tab w:val="clear" w:pos="8640"/>
        </w:tabs>
        <w:spacing w:line="360" w:lineRule="auto"/>
      </w:pPr>
    </w:p>
    <w:p w:rsidR="00D70040" w:rsidRDefault="00D70040" w:rsidP="00D70040">
      <w:pPr>
        <w:pStyle w:val="Header"/>
        <w:tabs>
          <w:tab w:val="clear" w:pos="4320"/>
          <w:tab w:val="clear" w:pos="8640"/>
        </w:tabs>
        <w:spacing w:line="360" w:lineRule="auto"/>
      </w:pPr>
    </w:p>
    <w:p w:rsidR="00D70040" w:rsidRDefault="00D70040" w:rsidP="00D70040">
      <w:pPr>
        <w:pStyle w:val="Header"/>
        <w:tabs>
          <w:tab w:val="clear" w:pos="4320"/>
          <w:tab w:val="clear" w:pos="8640"/>
          <w:tab w:val="left" w:pos="720"/>
        </w:tabs>
        <w:spacing w:after="100"/>
        <w:ind w:left="720" w:hanging="720"/>
      </w:pPr>
      <w:r>
        <w:rPr>
          <w:noProof/>
        </w:rPr>
        <w:t>14.</w:t>
      </w:r>
      <w:r>
        <w:rPr>
          <w:noProof/>
        </w:rPr>
        <w:tab/>
        <w:t>a.</w:t>
      </w:r>
      <w:r>
        <w:rPr>
          <w:noProof/>
        </w:rPr>
        <w:tab/>
      </w:r>
      <w:r w:rsidRPr="000762C1">
        <w:rPr>
          <w:noProof/>
          <w:position w:val="-30"/>
        </w:rPr>
        <w:object w:dxaOrig="4480" w:dyaOrig="980">
          <v:shape id="_x0000_i1033" type="#_x0000_t75" style="width:224.25pt;height:48.75pt" o:ole="" fillcolor="window">
            <v:imagedata r:id="rId23" o:title=""/>
          </v:shape>
          <o:OLEObject Type="Embed" ProgID="Equation.3" ShapeID="_x0000_i1033" DrawAspect="Content" ObjectID="_1355989900" r:id="rId24"/>
        </w:object>
      </w:r>
    </w:p>
    <w:p w:rsidR="00D70040" w:rsidRDefault="00D70040" w:rsidP="00D70040">
      <w:pPr>
        <w:pStyle w:val="Header"/>
        <w:tabs>
          <w:tab w:val="clear" w:pos="4320"/>
          <w:tab w:val="clear" w:pos="8640"/>
        </w:tabs>
        <w:spacing w:line="480" w:lineRule="auto"/>
        <w:ind w:left="1440"/>
      </w:pPr>
      <w:r w:rsidRPr="000762C1">
        <w:rPr>
          <w:noProof/>
          <w:position w:val="-30"/>
        </w:rPr>
        <w:object w:dxaOrig="4500" w:dyaOrig="980">
          <v:shape id="_x0000_i1034" type="#_x0000_t75" style="width:225pt;height:48.75pt" o:ole="" fillcolor="window">
            <v:imagedata r:id="rId25" o:title=""/>
          </v:shape>
          <o:OLEObject Type="Embed" ProgID="Equation.3" ShapeID="_x0000_i1034" DrawAspect="Content" ObjectID="_1355989901" r:id="rId26"/>
        </w:object>
      </w:r>
    </w:p>
    <w:p w:rsidR="00D70040" w:rsidRDefault="00D70040" w:rsidP="00D70040">
      <w:pPr>
        <w:pStyle w:val="Header"/>
        <w:numPr>
          <w:ilvl w:val="0"/>
          <w:numId w:val="4"/>
        </w:numPr>
        <w:tabs>
          <w:tab w:val="clear" w:pos="1440"/>
          <w:tab w:val="clear" w:pos="4320"/>
          <w:tab w:val="clear" w:pos="8640"/>
        </w:tabs>
        <w:spacing w:after="100"/>
      </w:pPr>
      <w:r>
        <w:t>Each project has a Profitability Index greater than zero, and so both are acceptable projects.  In order to choose between these projects, we must use incremental analysis.  For the incremental cash flows:</w:t>
      </w:r>
    </w:p>
    <w:p w:rsidR="00D70040" w:rsidRDefault="00D70040" w:rsidP="00D70040">
      <w:pPr>
        <w:pStyle w:val="Header"/>
        <w:tabs>
          <w:tab w:val="clear" w:pos="4320"/>
          <w:tab w:val="clear" w:pos="8640"/>
        </w:tabs>
        <w:spacing w:after="100"/>
        <w:ind w:left="1440"/>
        <w:rPr>
          <w:noProof/>
        </w:rPr>
      </w:pPr>
      <w:r w:rsidRPr="00C05CD9">
        <w:rPr>
          <w:noProof/>
          <w:position w:val="-30"/>
        </w:rPr>
        <w:object w:dxaOrig="4660" w:dyaOrig="980">
          <v:shape id="_x0000_i1035" type="#_x0000_t75" style="width:233.25pt;height:48.75pt" o:ole="" fillcolor="window">
            <v:imagedata r:id="rId27" o:title=""/>
          </v:shape>
          <o:OLEObject Type="Embed" ProgID="Equation.3" ShapeID="_x0000_i1035" DrawAspect="Content" ObjectID="_1355989902" r:id="rId28"/>
        </w:object>
      </w:r>
    </w:p>
    <w:p w:rsidR="00D70040" w:rsidRDefault="00D70040" w:rsidP="00D70040">
      <w:pPr>
        <w:pStyle w:val="Header"/>
        <w:tabs>
          <w:tab w:val="clear" w:pos="4320"/>
          <w:tab w:val="clear" w:pos="8640"/>
        </w:tabs>
        <w:spacing w:after="100"/>
        <w:ind w:left="1440"/>
      </w:pPr>
      <w:r>
        <w:rPr>
          <w:noProof/>
        </w:rPr>
        <w:br w:type="page"/>
      </w:r>
      <w:r>
        <w:lastRenderedPageBreak/>
        <w:t>The increment is thus an acceptable project, and so the larger project should be accepted, i.e., accept Project E.  (Note that, in this case, the better project has the lower profitability index.)</w:t>
      </w:r>
    </w:p>
    <w:p w:rsidR="00D70040" w:rsidRDefault="00D70040" w:rsidP="00D70040">
      <w:pPr>
        <w:pStyle w:val="Header"/>
        <w:tabs>
          <w:tab w:val="clear" w:pos="4320"/>
          <w:tab w:val="clear" w:pos="8640"/>
        </w:tabs>
        <w:spacing w:line="220" w:lineRule="exact"/>
      </w:pPr>
    </w:p>
    <w:p w:rsidR="00D70040" w:rsidRDefault="00D70040" w:rsidP="00D70040">
      <w:pPr>
        <w:pStyle w:val="Header"/>
        <w:tabs>
          <w:tab w:val="clear" w:pos="4320"/>
          <w:tab w:val="clear" w:pos="8640"/>
        </w:tabs>
        <w:spacing w:line="220" w:lineRule="exact"/>
      </w:pPr>
    </w:p>
    <w:p w:rsidR="00D70040" w:rsidRDefault="00D70040" w:rsidP="00D70040">
      <w:pPr>
        <w:pStyle w:val="Header"/>
        <w:tabs>
          <w:tab w:val="clear" w:pos="4320"/>
          <w:tab w:val="clear" w:pos="8640"/>
        </w:tabs>
        <w:spacing w:after="100"/>
        <w:ind w:left="720" w:hanging="720"/>
      </w:pPr>
      <w:r>
        <w:t>15.</w:t>
      </w:r>
      <w:r>
        <w:tab/>
        <w:t>Using the fact that Profitability Index = (Net Present Value/Investment), we find:</w:t>
      </w:r>
    </w:p>
    <w:tbl>
      <w:tblPr>
        <w:tblW w:w="0" w:type="auto"/>
        <w:tblInd w:w="1728" w:type="dxa"/>
        <w:tblBorders>
          <w:top w:val="nil"/>
          <w:left w:val="nil"/>
          <w:bottom w:val="nil"/>
          <w:right w:val="nil"/>
          <w:insideH w:val="nil"/>
          <w:insideV w:val="nil"/>
        </w:tblBorders>
        <w:tblLayout w:type="fixed"/>
        <w:tblLook w:val="00BE"/>
      </w:tblPr>
      <w:tblGrid>
        <w:gridCol w:w="1097"/>
        <w:gridCol w:w="253"/>
        <w:gridCol w:w="2070"/>
      </w:tblGrid>
      <w:tr w:rsidR="00D70040" w:rsidTr="00217ED2">
        <w:tblPrEx>
          <w:tblCellMar>
            <w:top w:w="0" w:type="dxa"/>
            <w:bottom w:w="0" w:type="dxa"/>
          </w:tblCellMar>
        </w:tblPrEx>
        <w:trPr>
          <w:trHeight w:val="289"/>
        </w:trPr>
        <w:tc>
          <w:tcPr>
            <w:tcW w:w="1097" w:type="dxa"/>
            <w:tcBorders>
              <w:bottom w:val="single" w:sz="4" w:space="0" w:color="auto"/>
            </w:tcBorders>
          </w:tcPr>
          <w:p w:rsidR="00D70040" w:rsidRDefault="00D70040" w:rsidP="00217ED2">
            <w:pPr>
              <w:pStyle w:val="Header"/>
              <w:tabs>
                <w:tab w:val="clear" w:pos="4320"/>
                <w:tab w:val="clear" w:pos="8640"/>
              </w:tabs>
              <w:jc w:val="center"/>
            </w:pPr>
            <w:r>
              <w:t>Project</w:t>
            </w:r>
          </w:p>
        </w:tc>
        <w:tc>
          <w:tcPr>
            <w:tcW w:w="253" w:type="dxa"/>
          </w:tcPr>
          <w:p w:rsidR="00D70040" w:rsidRDefault="00D70040" w:rsidP="00217ED2">
            <w:pPr>
              <w:pStyle w:val="Header"/>
              <w:tabs>
                <w:tab w:val="clear" w:pos="4320"/>
                <w:tab w:val="clear" w:pos="8640"/>
              </w:tabs>
              <w:jc w:val="center"/>
            </w:pPr>
          </w:p>
        </w:tc>
        <w:tc>
          <w:tcPr>
            <w:tcW w:w="2070" w:type="dxa"/>
            <w:tcBorders>
              <w:bottom w:val="single" w:sz="4" w:space="0" w:color="auto"/>
            </w:tcBorders>
          </w:tcPr>
          <w:p w:rsidR="00D70040" w:rsidRDefault="00D70040" w:rsidP="00217ED2">
            <w:pPr>
              <w:pStyle w:val="Header"/>
              <w:tabs>
                <w:tab w:val="clear" w:pos="4320"/>
                <w:tab w:val="clear" w:pos="8640"/>
              </w:tabs>
              <w:jc w:val="center"/>
            </w:pPr>
            <w:r>
              <w:t>Profitability Index</w:t>
            </w:r>
          </w:p>
        </w:tc>
      </w:tr>
      <w:tr w:rsidR="00D70040" w:rsidTr="00217ED2">
        <w:tblPrEx>
          <w:tblCellMar>
            <w:top w:w="0" w:type="dxa"/>
            <w:bottom w:w="0" w:type="dxa"/>
          </w:tblCellMar>
        </w:tblPrEx>
        <w:trPr>
          <w:trHeight w:val="287"/>
        </w:trPr>
        <w:tc>
          <w:tcPr>
            <w:tcW w:w="1097" w:type="dxa"/>
            <w:tcBorders>
              <w:top w:val="nil"/>
            </w:tcBorders>
          </w:tcPr>
          <w:p w:rsidR="00D70040" w:rsidRDefault="00D70040" w:rsidP="00217ED2">
            <w:pPr>
              <w:pStyle w:val="Header"/>
              <w:tabs>
                <w:tab w:val="clear" w:pos="4320"/>
                <w:tab w:val="clear" w:pos="8640"/>
              </w:tabs>
              <w:jc w:val="center"/>
            </w:pPr>
            <w:r>
              <w:t>1</w:t>
            </w:r>
          </w:p>
        </w:tc>
        <w:tc>
          <w:tcPr>
            <w:tcW w:w="253" w:type="dxa"/>
          </w:tcPr>
          <w:p w:rsidR="00D70040" w:rsidRDefault="00D70040" w:rsidP="00217ED2">
            <w:pPr>
              <w:pStyle w:val="Header"/>
              <w:tabs>
                <w:tab w:val="clear" w:pos="4320"/>
                <w:tab w:val="clear" w:pos="8640"/>
              </w:tabs>
            </w:pPr>
          </w:p>
        </w:tc>
        <w:tc>
          <w:tcPr>
            <w:tcW w:w="2070" w:type="dxa"/>
            <w:tcBorders>
              <w:top w:val="nil"/>
            </w:tcBorders>
          </w:tcPr>
          <w:p w:rsidR="00D70040" w:rsidRDefault="00D70040" w:rsidP="00217ED2">
            <w:pPr>
              <w:pStyle w:val="Header"/>
              <w:tabs>
                <w:tab w:val="clear" w:pos="4320"/>
                <w:tab w:val="clear" w:pos="8640"/>
                <w:tab w:val="decimal" w:pos="792"/>
              </w:tabs>
            </w:pPr>
            <w:r>
              <w:t>0.22</w:t>
            </w:r>
          </w:p>
        </w:tc>
      </w:tr>
      <w:tr w:rsidR="00D70040" w:rsidTr="00217ED2">
        <w:tblPrEx>
          <w:tblCellMar>
            <w:top w:w="0" w:type="dxa"/>
            <w:bottom w:w="0" w:type="dxa"/>
          </w:tblCellMar>
        </w:tblPrEx>
        <w:trPr>
          <w:trHeight w:val="287"/>
        </w:trPr>
        <w:tc>
          <w:tcPr>
            <w:tcW w:w="1097" w:type="dxa"/>
          </w:tcPr>
          <w:p w:rsidR="00D70040" w:rsidRDefault="00D70040" w:rsidP="00217ED2">
            <w:pPr>
              <w:pStyle w:val="Header"/>
              <w:tabs>
                <w:tab w:val="clear" w:pos="4320"/>
                <w:tab w:val="clear" w:pos="8640"/>
              </w:tabs>
              <w:jc w:val="center"/>
            </w:pPr>
            <w:r>
              <w:t>2</w:t>
            </w:r>
          </w:p>
        </w:tc>
        <w:tc>
          <w:tcPr>
            <w:tcW w:w="253" w:type="dxa"/>
          </w:tcPr>
          <w:p w:rsidR="00D70040" w:rsidRDefault="00D70040" w:rsidP="00217ED2">
            <w:pPr>
              <w:pStyle w:val="Header"/>
              <w:tabs>
                <w:tab w:val="clear" w:pos="4320"/>
                <w:tab w:val="clear" w:pos="8640"/>
              </w:tabs>
            </w:pPr>
          </w:p>
        </w:tc>
        <w:tc>
          <w:tcPr>
            <w:tcW w:w="2070" w:type="dxa"/>
          </w:tcPr>
          <w:p w:rsidR="00D70040" w:rsidRDefault="00D70040" w:rsidP="00217ED2">
            <w:pPr>
              <w:pStyle w:val="Header"/>
              <w:tabs>
                <w:tab w:val="clear" w:pos="4320"/>
                <w:tab w:val="clear" w:pos="8640"/>
                <w:tab w:val="decimal" w:pos="792"/>
              </w:tabs>
            </w:pPr>
            <w:r>
              <w:t>-0.02</w:t>
            </w:r>
          </w:p>
        </w:tc>
      </w:tr>
      <w:tr w:rsidR="00D70040" w:rsidTr="00217ED2">
        <w:tblPrEx>
          <w:tblCellMar>
            <w:top w:w="0" w:type="dxa"/>
            <w:bottom w:w="0" w:type="dxa"/>
          </w:tblCellMar>
        </w:tblPrEx>
        <w:trPr>
          <w:trHeight w:val="287"/>
        </w:trPr>
        <w:tc>
          <w:tcPr>
            <w:tcW w:w="1097" w:type="dxa"/>
          </w:tcPr>
          <w:p w:rsidR="00D70040" w:rsidRDefault="00D70040" w:rsidP="00217ED2">
            <w:pPr>
              <w:pStyle w:val="Header"/>
              <w:tabs>
                <w:tab w:val="clear" w:pos="4320"/>
                <w:tab w:val="clear" w:pos="8640"/>
              </w:tabs>
              <w:jc w:val="center"/>
            </w:pPr>
            <w:r>
              <w:t>3</w:t>
            </w:r>
          </w:p>
        </w:tc>
        <w:tc>
          <w:tcPr>
            <w:tcW w:w="253" w:type="dxa"/>
          </w:tcPr>
          <w:p w:rsidR="00D70040" w:rsidRDefault="00D70040" w:rsidP="00217ED2">
            <w:pPr>
              <w:pStyle w:val="Header"/>
              <w:tabs>
                <w:tab w:val="clear" w:pos="4320"/>
                <w:tab w:val="clear" w:pos="8640"/>
              </w:tabs>
            </w:pPr>
          </w:p>
        </w:tc>
        <w:tc>
          <w:tcPr>
            <w:tcW w:w="2070" w:type="dxa"/>
          </w:tcPr>
          <w:p w:rsidR="00D70040" w:rsidRDefault="00D70040" w:rsidP="00217ED2">
            <w:pPr>
              <w:pStyle w:val="Header"/>
              <w:tabs>
                <w:tab w:val="clear" w:pos="4320"/>
                <w:tab w:val="clear" w:pos="8640"/>
                <w:tab w:val="decimal" w:pos="792"/>
              </w:tabs>
            </w:pPr>
            <w:r>
              <w:t>0.17</w:t>
            </w:r>
          </w:p>
        </w:tc>
      </w:tr>
      <w:tr w:rsidR="00D70040" w:rsidTr="00217ED2">
        <w:tblPrEx>
          <w:tblCellMar>
            <w:top w:w="0" w:type="dxa"/>
            <w:bottom w:w="0" w:type="dxa"/>
          </w:tblCellMar>
        </w:tblPrEx>
        <w:trPr>
          <w:trHeight w:val="287"/>
        </w:trPr>
        <w:tc>
          <w:tcPr>
            <w:tcW w:w="1097" w:type="dxa"/>
          </w:tcPr>
          <w:p w:rsidR="00D70040" w:rsidRDefault="00D70040" w:rsidP="00217ED2">
            <w:pPr>
              <w:pStyle w:val="Header"/>
              <w:tabs>
                <w:tab w:val="clear" w:pos="4320"/>
                <w:tab w:val="clear" w:pos="8640"/>
              </w:tabs>
              <w:jc w:val="center"/>
            </w:pPr>
            <w:r>
              <w:t>4</w:t>
            </w:r>
          </w:p>
        </w:tc>
        <w:tc>
          <w:tcPr>
            <w:tcW w:w="253" w:type="dxa"/>
          </w:tcPr>
          <w:p w:rsidR="00D70040" w:rsidRDefault="00D70040" w:rsidP="00217ED2">
            <w:pPr>
              <w:pStyle w:val="Header"/>
              <w:tabs>
                <w:tab w:val="clear" w:pos="4320"/>
                <w:tab w:val="clear" w:pos="8640"/>
              </w:tabs>
            </w:pPr>
          </w:p>
        </w:tc>
        <w:tc>
          <w:tcPr>
            <w:tcW w:w="2070" w:type="dxa"/>
          </w:tcPr>
          <w:p w:rsidR="00D70040" w:rsidRDefault="00D70040" w:rsidP="00217ED2">
            <w:pPr>
              <w:pStyle w:val="Header"/>
              <w:tabs>
                <w:tab w:val="clear" w:pos="4320"/>
                <w:tab w:val="clear" w:pos="8640"/>
                <w:tab w:val="decimal" w:pos="792"/>
              </w:tabs>
            </w:pPr>
            <w:r>
              <w:t>0.14</w:t>
            </w:r>
          </w:p>
        </w:tc>
      </w:tr>
      <w:tr w:rsidR="00D70040" w:rsidTr="00217ED2">
        <w:tblPrEx>
          <w:tblCellMar>
            <w:top w:w="0" w:type="dxa"/>
            <w:bottom w:w="0" w:type="dxa"/>
          </w:tblCellMar>
        </w:tblPrEx>
        <w:trPr>
          <w:trHeight w:val="287"/>
        </w:trPr>
        <w:tc>
          <w:tcPr>
            <w:tcW w:w="1097" w:type="dxa"/>
          </w:tcPr>
          <w:p w:rsidR="00D70040" w:rsidRDefault="00D70040" w:rsidP="00217ED2">
            <w:pPr>
              <w:pStyle w:val="Header"/>
              <w:tabs>
                <w:tab w:val="clear" w:pos="4320"/>
                <w:tab w:val="clear" w:pos="8640"/>
              </w:tabs>
              <w:jc w:val="center"/>
            </w:pPr>
            <w:r>
              <w:t>5</w:t>
            </w:r>
          </w:p>
        </w:tc>
        <w:tc>
          <w:tcPr>
            <w:tcW w:w="253" w:type="dxa"/>
          </w:tcPr>
          <w:p w:rsidR="00D70040" w:rsidRDefault="00D70040" w:rsidP="00217ED2">
            <w:pPr>
              <w:pStyle w:val="Header"/>
              <w:tabs>
                <w:tab w:val="clear" w:pos="4320"/>
                <w:tab w:val="clear" w:pos="8640"/>
              </w:tabs>
            </w:pPr>
          </w:p>
        </w:tc>
        <w:tc>
          <w:tcPr>
            <w:tcW w:w="2070" w:type="dxa"/>
          </w:tcPr>
          <w:p w:rsidR="00D70040" w:rsidRDefault="00D70040" w:rsidP="00217ED2">
            <w:pPr>
              <w:pStyle w:val="Header"/>
              <w:tabs>
                <w:tab w:val="clear" w:pos="4320"/>
                <w:tab w:val="clear" w:pos="8640"/>
                <w:tab w:val="decimal" w:pos="792"/>
              </w:tabs>
            </w:pPr>
            <w:r>
              <w:t>0.07</w:t>
            </w:r>
          </w:p>
        </w:tc>
      </w:tr>
      <w:tr w:rsidR="00D70040" w:rsidTr="00217ED2">
        <w:tblPrEx>
          <w:tblCellMar>
            <w:top w:w="0" w:type="dxa"/>
            <w:bottom w:w="0" w:type="dxa"/>
          </w:tblCellMar>
        </w:tblPrEx>
        <w:trPr>
          <w:trHeight w:val="287"/>
        </w:trPr>
        <w:tc>
          <w:tcPr>
            <w:tcW w:w="1097" w:type="dxa"/>
          </w:tcPr>
          <w:p w:rsidR="00D70040" w:rsidRDefault="00D70040" w:rsidP="00217ED2">
            <w:pPr>
              <w:pStyle w:val="Header"/>
              <w:tabs>
                <w:tab w:val="clear" w:pos="4320"/>
                <w:tab w:val="clear" w:pos="8640"/>
              </w:tabs>
              <w:jc w:val="center"/>
            </w:pPr>
            <w:r>
              <w:t>6</w:t>
            </w:r>
          </w:p>
        </w:tc>
        <w:tc>
          <w:tcPr>
            <w:tcW w:w="253" w:type="dxa"/>
          </w:tcPr>
          <w:p w:rsidR="00D70040" w:rsidRDefault="00D70040" w:rsidP="00217ED2">
            <w:pPr>
              <w:pStyle w:val="Header"/>
              <w:tabs>
                <w:tab w:val="clear" w:pos="4320"/>
                <w:tab w:val="clear" w:pos="8640"/>
              </w:tabs>
            </w:pPr>
          </w:p>
        </w:tc>
        <w:tc>
          <w:tcPr>
            <w:tcW w:w="2070" w:type="dxa"/>
          </w:tcPr>
          <w:p w:rsidR="00D70040" w:rsidRDefault="00D70040" w:rsidP="00217ED2">
            <w:pPr>
              <w:pStyle w:val="Header"/>
              <w:tabs>
                <w:tab w:val="clear" w:pos="4320"/>
                <w:tab w:val="clear" w:pos="8640"/>
                <w:tab w:val="decimal" w:pos="792"/>
              </w:tabs>
            </w:pPr>
            <w:r>
              <w:t>0.18</w:t>
            </w:r>
          </w:p>
        </w:tc>
      </w:tr>
      <w:tr w:rsidR="00D70040" w:rsidTr="00217ED2">
        <w:tblPrEx>
          <w:tblCellMar>
            <w:top w:w="0" w:type="dxa"/>
            <w:bottom w:w="0" w:type="dxa"/>
          </w:tblCellMar>
        </w:tblPrEx>
        <w:trPr>
          <w:trHeight w:val="287"/>
        </w:trPr>
        <w:tc>
          <w:tcPr>
            <w:tcW w:w="1097" w:type="dxa"/>
          </w:tcPr>
          <w:p w:rsidR="00D70040" w:rsidRDefault="00D70040" w:rsidP="00217ED2">
            <w:pPr>
              <w:pStyle w:val="Header"/>
              <w:tabs>
                <w:tab w:val="clear" w:pos="4320"/>
                <w:tab w:val="clear" w:pos="8640"/>
              </w:tabs>
              <w:jc w:val="center"/>
            </w:pPr>
            <w:r>
              <w:t>7</w:t>
            </w:r>
          </w:p>
        </w:tc>
        <w:tc>
          <w:tcPr>
            <w:tcW w:w="253" w:type="dxa"/>
          </w:tcPr>
          <w:p w:rsidR="00D70040" w:rsidRDefault="00D70040" w:rsidP="00217ED2">
            <w:pPr>
              <w:pStyle w:val="Header"/>
              <w:tabs>
                <w:tab w:val="clear" w:pos="4320"/>
                <w:tab w:val="clear" w:pos="8640"/>
              </w:tabs>
            </w:pPr>
          </w:p>
        </w:tc>
        <w:tc>
          <w:tcPr>
            <w:tcW w:w="2070" w:type="dxa"/>
          </w:tcPr>
          <w:p w:rsidR="00D70040" w:rsidRDefault="00D70040" w:rsidP="00217ED2">
            <w:pPr>
              <w:pStyle w:val="Header"/>
              <w:tabs>
                <w:tab w:val="clear" w:pos="4320"/>
                <w:tab w:val="clear" w:pos="8640"/>
                <w:tab w:val="decimal" w:pos="792"/>
              </w:tabs>
            </w:pPr>
            <w:r>
              <w:t>0.12</w:t>
            </w:r>
          </w:p>
        </w:tc>
      </w:tr>
    </w:tbl>
    <w:p w:rsidR="00D70040" w:rsidRDefault="00D70040" w:rsidP="00D70040">
      <w:pPr>
        <w:pStyle w:val="Header"/>
        <w:tabs>
          <w:tab w:val="clear" w:pos="4320"/>
          <w:tab w:val="clear" w:pos="8640"/>
        </w:tabs>
        <w:spacing w:before="100" w:after="100"/>
        <w:ind w:left="720"/>
      </w:pPr>
      <w:r>
        <w:t>Thus, given the budget of $1 million, the best the company can do is to accept Projects 1, 3, 4, and 6.</w:t>
      </w:r>
    </w:p>
    <w:p w:rsidR="00D70040" w:rsidRDefault="00D70040" w:rsidP="00D70040">
      <w:pPr>
        <w:pStyle w:val="Header"/>
        <w:tabs>
          <w:tab w:val="clear" w:pos="4320"/>
          <w:tab w:val="clear" w:pos="8640"/>
        </w:tabs>
        <w:ind w:left="720"/>
      </w:pPr>
      <w:r>
        <w:t xml:space="preserve">If the company accepted </w:t>
      </w:r>
      <w:r>
        <w:rPr>
          <w:i/>
        </w:rPr>
        <w:t>all</w:t>
      </w:r>
      <w:r>
        <w:t xml:space="preserve"> positive NPV projects, the market value (compared to the market value under the budget limitation) would increase by the NPV of Project 5 plus the NPV of Project 7: $7,000 + $48,000 = $55,000</w:t>
      </w:r>
    </w:p>
    <w:p w:rsidR="00D70040" w:rsidRDefault="00D70040" w:rsidP="00D70040">
      <w:pPr>
        <w:pStyle w:val="Header"/>
        <w:tabs>
          <w:tab w:val="clear" w:pos="4320"/>
          <w:tab w:val="clear" w:pos="8640"/>
        </w:tabs>
        <w:ind w:left="720"/>
      </w:pPr>
      <w:r>
        <w:t>Thus, the budget limit costs the company $55,000 in terms of its market value.</w:t>
      </w:r>
    </w:p>
    <w:p w:rsidR="00D70040" w:rsidRDefault="00D70040" w:rsidP="00D70040">
      <w:pPr>
        <w:pStyle w:val="Header"/>
        <w:tabs>
          <w:tab w:val="clear" w:pos="4320"/>
          <w:tab w:val="clear" w:pos="8640"/>
        </w:tabs>
      </w:pPr>
    </w:p>
    <w:p w:rsidR="00D70040" w:rsidRDefault="00D70040" w:rsidP="00D70040">
      <w:pPr>
        <w:pStyle w:val="Header"/>
        <w:tabs>
          <w:tab w:val="clear" w:pos="4320"/>
          <w:tab w:val="clear" w:pos="8640"/>
        </w:tabs>
      </w:pPr>
    </w:p>
    <w:p w:rsidR="00D70040" w:rsidRDefault="00D70040" w:rsidP="00D70040">
      <w:pPr>
        <w:pStyle w:val="Header"/>
        <w:tabs>
          <w:tab w:val="clear" w:pos="4320"/>
          <w:tab w:val="clear" w:pos="8640"/>
        </w:tabs>
        <w:ind w:left="720" w:hanging="720"/>
      </w:pPr>
      <w:r>
        <w:t>16.</w:t>
      </w:r>
      <w:r>
        <w:tab/>
        <w:t>The IRR is the discount rate which, when applied to a project’s cash flows, yields NPV = 0.  Thus, it does not represent an opportunity cost.  However, if each project’s cash flows could be invested at that project’s IRR, then the NPV of each project would be zero because the IRR would then be the opportunity cost of capital for each project.  The discount rate used in an NPV calculation is the opportunity cost of capital.  Therefore, it is true that the NPV rule does assume that cash flows are reinvested at the opportunity cost of capital.</w:t>
      </w:r>
    </w:p>
    <w:p w:rsidR="00D70040" w:rsidRDefault="00D70040" w:rsidP="00D70040">
      <w:pPr>
        <w:pStyle w:val="Header"/>
        <w:tabs>
          <w:tab w:val="clear" w:pos="4320"/>
          <w:tab w:val="clear" w:pos="8640"/>
        </w:tabs>
        <w:spacing w:line="360" w:lineRule="auto"/>
      </w:pPr>
    </w:p>
    <w:p w:rsidR="00D70040" w:rsidRDefault="00D70040" w:rsidP="00D70040">
      <w:pPr>
        <w:pStyle w:val="Header"/>
        <w:tabs>
          <w:tab w:val="clear" w:pos="4320"/>
          <w:tab w:val="clear" w:pos="8640"/>
        </w:tabs>
        <w:spacing w:line="360" w:lineRule="auto"/>
      </w:pPr>
    </w:p>
    <w:p w:rsidR="00D70040" w:rsidRDefault="00D70040" w:rsidP="00D70040">
      <w:pPr>
        <w:pStyle w:val="Header"/>
        <w:tabs>
          <w:tab w:val="clear" w:pos="4320"/>
          <w:tab w:val="clear" w:pos="8640"/>
          <w:tab w:val="left" w:pos="720"/>
        </w:tabs>
        <w:ind w:left="720" w:hanging="720"/>
      </w:pPr>
      <w:r>
        <w:t>17.</w:t>
      </w:r>
      <w:r>
        <w:tab/>
      </w:r>
    </w:p>
    <w:p w:rsidR="00D70040" w:rsidRDefault="00D70040" w:rsidP="00D70040">
      <w:pPr>
        <w:pStyle w:val="Header"/>
        <w:tabs>
          <w:tab w:val="clear" w:pos="4320"/>
          <w:tab w:val="clear" w:pos="8640"/>
          <w:tab w:val="left" w:pos="720"/>
        </w:tabs>
      </w:pPr>
      <w:r>
        <w:tab/>
      </w:r>
      <w:proofErr w:type="gramStart"/>
      <w:r>
        <w:t>a</w:t>
      </w:r>
      <w:proofErr w:type="gramEnd"/>
      <w:r>
        <w:t>.</w:t>
      </w:r>
    </w:p>
    <w:tbl>
      <w:tblPr>
        <w:tblW w:w="0" w:type="auto"/>
        <w:tblInd w:w="900" w:type="dxa"/>
        <w:tblBorders>
          <w:top w:val="nil"/>
          <w:left w:val="nil"/>
          <w:bottom w:val="nil"/>
          <w:right w:val="nil"/>
          <w:insideH w:val="nil"/>
          <w:insideV w:val="nil"/>
        </w:tblBorders>
        <w:tblLayout w:type="fixed"/>
        <w:tblCellMar>
          <w:left w:w="0" w:type="dxa"/>
          <w:right w:w="0" w:type="dxa"/>
        </w:tblCellMar>
        <w:tblLook w:val="00AE"/>
      </w:tblPr>
      <w:tblGrid>
        <w:gridCol w:w="900"/>
        <w:gridCol w:w="1260"/>
        <w:gridCol w:w="1710"/>
        <w:gridCol w:w="3510"/>
      </w:tblGrid>
      <w:tr w:rsidR="00D70040" w:rsidTr="00217ED2">
        <w:tblPrEx>
          <w:tblCellMar>
            <w:top w:w="0" w:type="dxa"/>
            <w:left w:w="0" w:type="dxa"/>
            <w:bottom w:w="0" w:type="dxa"/>
            <w:right w:w="0" w:type="dxa"/>
          </w:tblCellMar>
        </w:tblPrEx>
        <w:trPr>
          <w:trHeight w:val="280"/>
        </w:trPr>
        <w:tc>
          <w:tcPr>
            <w:tcW w:w="900" w:type="dxa"/>
          </w:tcPr>
          <w:p w:rsidR="00D70040" w:rsidRDefault="00D70040" w:rsidP="00217ED2">
            <w:pPr>
              <w:pStyle w:val="Header"/>
              <w:tabs>
                <w:tab w:val="clear" w:pos="4320"/>
                <w:tab w:val="clear" w:pos="8640"/>
              </w:tabs>
              <w:ind w:left="-828"/>
              <w:jc w:val="right"/>
              <w:rPr>
                <w:vertAlign w:val="subscript"/>
              </w:rPr>
            </w:pPr>
            <w:r>
              <w:t>C</w:t>
            </w:r>
            <w:r>
              <w:rPr>
                <w:vertAlign w:val="subscript"/>
              </w:rPr>
              <w:t>0</w:t>
            </w:r>
          </w:p>
        </w:tc>
        <w:tc>
          <w:tcPr>
            <w:tcW w:w="1260" w:type="dxa"/>
          </w:tcPr>
          <w:p w:rsidR="00D70040" w:rsidRDefault="00D70040" w:rsidP="00217ED2">
            <w:pPr>
              <w:pStyle w:val="Header"/>
              <w:tabs>
                <w:tab w:val="clear" w:pos="4320"/>
                <w:tab w:val="clear" w:pos="8640"/>
              </w:tabs>
            </w:pPr>
            <w:r>
              <w:t xml:space="preserve"> = –3,000</w:t>
            </w:r>
          </w:p>
        </w:tc>
        <w:tc>
          <w:tcPr>
            <w:tcW w:w="1710" w:type="dxa"/>
          </w:tcPr>
          <w:p w:rsidR="00D70040" w:rsidRDefault="00D70040" w:rsidP="00217ED2">
            <w:pPr>
              <w:pStyle w:val="Header"/>
              <w:tabs>
                <w:tab w:val="clear" w:pos="4320"/>
                <w:tab w:val="clear" w:pos="8640"/>
              </w:tabs>
              <w:jc w:val="right"/>
            </w:pPr>
            <w:r>
              <w:t>C</w:t>
            </w:r>
            <w:r>
              <w:rPr>
                <w:vertAlign w:val="subscript"/>
              </w:rPr>
              <w:t>0</w:t>
            </w:r>
          </w:p>
        </w:tc>
        <w:tc>
          <w:tcPr>
            <w:tcW w:w="3510" w:type="dxa"/>
          </w:tcPr>
          <w:p w:rsidR="00D70040" w:rsidRDefault="00D70040" w:rsidP="00217ED2">
            <w:pPr>
              <w:pStyle w:val="Header"/>
              <w:tabs>
                <w:tab w:val="clear" w:pos="4320"/>
                <w:tab w:val="clear" w:pos="8640"/>
              </w:tabs>
            </w:pPr>
            <w:r>
              <w:t xml:space="preserve">  = </w:t>
            </w:r>
            <w:r w:rsidRPr="00131E67">
              <w:t>–</w:t>
            </w:r>
            <w:r>
              <w:t>3,000</w:t>
            </w:r>
          </w:p>
        </w:tc>
      </w:tr>
      <w:tr w:rsidR="00D70040" w:rsidTr="00217ED2">
        <w:tblPrEx>
          <w:tblCellMar>
            <w:top w:w="0" w:type="dxa"/>
            <w:left w:w="0" w:type="dxa"/>
            <w:bottom w:w="0" w:type="dxa"/>
            <w:right w:w="0" w:type="dxa"/>
          </w:tblCellMar>
        </w:tblPrEx>
        <w:trPr>
          <w:trHeight w:val="280"/>
        </w:trPr>
        <w:tc>
          <w:tcPr>
            <w:tcW w:w="900" w:type="dxa"/>
          </w:tcPr>
          <w:p w:rsidR="00D70040" w:rsidRDefault="00D70040" w:rsidP="00217ED2">
            <w:pPr>
              <w:pStyle w:val="Header"/>
              <w:tabs>
                <w:tab w:val="clear" w:pos="4320"/>
                <w:tab w:val="clear" w:pos="8640"/>
              </w:tabs>
              <w:jc w:val="right"/>
              <w:rPr>
                <w:vertAlign w:val="subscript"/>
              </w:rPr>
            </w:pPr>
            <w:r>
              <w:t>C</w:t>
            </w:r>
            <w:r>
              <w:rPr>
                <w:vertAlign w:val="subscript"/>
              </w:rPr>
              <w:t>1</w:t>
            </w:r>
          </w:p>
        </w:tc>
        <w:tc>
          <w:tcPr>
            <w:tcW w:w="1260" w:type="dxa"/>
          </w:tcPr>
          <w:p w:rsidR="00D70040" w:rsidRDefault="00D70040" w:rsidP="00217ED2">
            <w:pPr>
              <w:pStyle w:val="Header"/>
              <w:tabs>
                <w:tab w:val="clear" w:pos="4320"/>
                <w:tab w:val="clear" w:pos="8640"/>
              </w:tabs>
            </w:pPr>
            <w:r>
              <w:t xml:space="preserve"> = +3,500</w:t>
            </w:r>
          </w:p>
        </w:tc>
        <w:tc>
          <w:tcPr>
            <w:tcW w:w="1710" w:type="dxa"/>
          </w:tcPr>
          <w:p w:rsidR="00D70040" w:rsidRDefault="00D70040" w:rsidP="00217ED2">
            <w:pPr>
              <w:pStyle w:val="Header"/>
              <w:tabs>
                <w:tab w:val="clear" w:pos="4320"/>
                <w:tab w:val="clear" w:pos="8640"/>
              </w:tabs>
              <w:jc w:val="right"/>
            </w:pPr>
            <w:r>
              <w:t>C</w:t>
            </w:r>
            <w:r>
              <w:rPr>
                <w:vertAlign w:val="subscript"/>
              </w:rPr>
              <w:t>1</w:t>
            </w:r>
          </w:p>
        </w:tc>
        <w:tc>
          <w:tcPr>
            <w:tcW w:w="3510" w:type="dxa"/>
          </w:tcPr>
          <w:p w:rsidR="00D70040" w:rsidRDefault="00D70040" w:rsidP="00217ED2">
            <w:pPr>
              <w:pStyle w:val="Header"/>
              <w:tabs>
                <w:tab w:val="clear" w:pos="4320"/>
                <w:tab w:val="clear" w:pos="8640"/>
              </w:tabs>
            </w:pPr>
            <w:r>
              <w:t xml:space="preserve">  = +3,500</w:t>
            </w:r>
          </w:p>
        </w:tc>
      </w:tr>
      <w:tr w:rsidR="00D70040" w:rsidTr="00217ED2">
        <w:tblPrEx>
          <w:tblCellMar>
            <w:top w:w="0" w:type="dxa"/>
            <w:left w:w="0" w:type="dxa"/>
            <w:bottom w:w="0" w:type="dxa"/>
            <w:right w:w="0" w:type="dxa"/>
          </w:tblCellMar>
        </w:tblPrEx>
        <w:trPr>
          <w:trHeight w:val="280"/>
        </w:trPr>
        <w:tc>
          <w:tcPr>
            <w:tcW w:w="900" w:type="dxa"/>
          </w:tcPr>
          <w:p w:rsidR="00D70040" w:rsidRDefault="00D70040" w:rsidP="00217ED2">
            <w:pPr>
              <w:pStyle w:val="Header"/>
              <w:tabs>
                <w:tab w:val="clear" w:pos="4320"/>
                <w:tab w:val="clear" w:pos="8640"/>
              </w:tabs>
              <w:jc w:val="right"/>
            </w:pPr>
            <w:r>
              <w:t>C</w:t>
            </w:r>
            <w:r>
              <w:rPr>
                <w:vertAlign w:val="subscript"/>
              </w:rPr>
              <w:t>2</w:t>
            </w:r>
          </w:p>
        </w:tc>
        <w:tc>
          <w:tcPr>
            <w:tcW w:w="1260" w:type="dxa"/>
          </w:tcPr>
          <w:p w:rsidR="00D70040" w:rsidRDefault="00D70040" w:rsidP="00217ED2">
            <w:pPr>
              <w:pStyle w:val="Header"/>
              <w:tabs>
                <w:tab w:val="clear" w:pos="4320"/>
                <w:tab w:val="clear" w:pos="8640"/>
              </w:tabs>
            </w:pPr>
            <w:r>
              <w:t xml:space="preserve"> = +4,000</w:t>
            </w:r>
          </w:p>
        </w:tc>
        <w:tc>
          <w:tcPr>
            <w:tcW w:w="1710" w:type="dxa"/>
          </w:tcPr>
          <w:p w:rsidR="00D70040" w:rsidRDefault="00D70040" w:rsidP="00217ED2">
            <w:pPr>
              <w:pStyle w:val="Header"/>
              <w:tabs>
                <w:tab w:val="clear" w:pos="4320"/>
                <w:tab w:val="clear" w:pos="8640"/>
              </w:tabs>
              <w:jc w:val="right"/>
            </w:pPr>
            <w:r>
              <w:t>C</w:t>
            </w:r>
            <w:r>
              <w:rPr>
                <w:vertAlign w:val="subscript"/>
              </w:rPr>
              <w:t>2</w:t>
            </w:r>
            <w:r>
              <w:t xml:space="preserve"> + PV(C</w:t>
            </w:r>
            <w:r>
              <w:rPr>
                <w:vertAlign w:val="subscript"/>
              </w:rPr>
              <w:t>3</w:t>
            </w:r>
          </w:p>
        </w:tc>
        <w:tc>
          <w:tcPr>
            <w:tcW w:w="3510" w:type="dxa"/>
          </w:tcPr>
          <w:p w:rsidR="00D70040" w:rsidRDefault="00D70040" w:rsidP="00217ED2">
            <w:pPr>
              <w:pStyle w:val="Header"/>
              <w:tabs>
                <w:tab w:val="clear" w:pos="4320"/>
                <w:tab w:val="clear" w:pos="8640"/>
              </w:tabs>
            </w:pPr>
            <w:r>
              <w:t>) = +4,000 – 3,571.43 = 428.57</w:t>
            </w:r>
          </w:p>
        </w:tc>
      </w:tr>
      <w:tr w:rsidR="00D70040" w:rsidTr="00217ED2">
        <w:tblPrEx>
          <w:tblCellMar>
            <w:top w:w="0" w:type="dxa"/>
            <w:left w:w="0" w:type="dxa"/>
            <w:bottom w:w="0" w:type="dxa"/>
            <w:right w:w="0" w:type="dxa"/>
          </w:tblCellMar>
        </w:tblPrEx>
        <w:trPr>
          <w:cantSplit/>
          <w:trHeight w:val="280"/>
        </w:trPr>
        <w:tc>
          <w:tcPr>
            <w:tcW w:w="900" w:type="dxa"/>
          </w:tcPr>
          <w:p w:rsidR="00D70040" w:rsidRDefault="00D70040" w:rsidP="00217ED2">
            <w:pPr>
              <w:pStyle w:val="Header"/>
              <w:tabs>
                <w:tab w:val="clear" w:pos="4320"/>
                <w:tab w:val="clear" w:pos="8640"/>
              </w:tabs>
              <w:jc w:val="right"/>
            </w:pPr>
            <w:r>
              <w:t>C</w:t>
            </w:r>
            <w:r>
              <w:rPr>
                <w:vertAlign w:val="subscript"/>
              </w:rPr>
              <w:t>3</w:t>
            </w:r>
          </w:p>
        </w:tc>
        <w:tc>
          <w:tcPr>
            <w:tcW w:w="1260" w:type="dxa"/>
          </w:tcPr>
          <w:p w:rsidR="00D70040" w:rsidRDefault="00D70040" w:rsidP="00217ED2">
            <w:pPr>
              <w:pStyle w:val="Header"/>
              <w:tabs>
                <w:tab w:val="clear" w:pos="4320"/>
                <w:tab w:val="clear" w:pos="8640"/>
              </w:tabs>
            </w:pPr>
            <w:r>
              <w:t xml:space="preserve"> = </w:t>
            </w:r>
            <w:r>
              <w:rPr>
                <w:rFonts w:cs="Arial"/>
              </w:rPr>
              <w:t>–</w:t>
            </w:r>
            <w:r>
              <w:t>4,000</w:t>
            </w:r>
          </w:p>
        </w:tc>
        <w:tc>
          <w:tcPr>
            <w:tcW w:w="5220" w:type="dxa"/>
            <w:gridSpan w:val="2"/>
          </w:tcPr>
          <w:p w:rsidR="00D70040" w:rsidRDefault="00D70040" w:rsidP="00217ED2">
            <w:pPr>
              <w:pStyle w:val="Header"/>
              <w:tabs>
                <w:tab w:val="clear" w:pos="4320"/>
                <w:tab w:val="clear" w:pos="8640"/>
              </w:tabs>
              <w:jc w:val="center"/>
            </w:pPr>
            <w:r>
              <w:t>MIRR = 27.84%</w:t>
            </w:r>
          </w:p>
        </w:tc>
      </w:tr>
    </w:tbl>
    <w:p w:rsidR="00D70040" w:rsidRDefault="00D70040" w:rsidP="00D70040">
      <w:pPr>
        <w:pStyle w:val="Header"/>
        <w:tabs>
          <w:tab w:val="clear" w:pos="4320"/>
          <w:tab w:val="clear" w:pos="8640"/>
        </w:tabs>
        <w:rPr>
          <w:noProof/>
        </w:rPr>
      </w:pPr>
    </w:p>
    <w:p w:rsidR="00D70040" w:rsidRDefault="00D70040" w:rsidP="00D70040">
      <w:pPr>
        <w:pStyle w:val="Header"/>
        <w:tabs>
          <w:tab w:val="clear" w:pos="4320"/>
          <w:tab w:val="clear" w:pos="8640"/>
          <w:tab w:val="left" w:pos="1440"/>
        </w:tabs>
        <w:spacing w:line="360" w:lineRule="auto"/>
        <w:ind w:left="720"/>
        <w:rPr>
          <w:noProof/>
        </w:rPr>
      </w:pPr>
      <w:proofErr w:type="gramStart"/>
      <w:r>
        <w:t>b</w:t>
      </w:r>
      <w:proofErr w:type="gramEnd"/>
      <w:r>
        <w:t>.</w:t>
      </w:r>
      <w:r>
        <w:tab/>
      </w:r>
      <w:r w:rsidRPr="00B46618">
        <w:rPr>
          <w:noProof/>
          <w:position w:val="-24"/>
        </w:rPr>
        <w:object w:dxaOrig="2280" w:dyaOrig="639">
          <v:shape id="_x0000_i1036" type="#_x0000_t75" style="width:114pt;height:32.25pt" o:ole="" fillcolor="window">
            <v:imagedata r:id="rId29" o:title=""/>
          </v:shape>
          <o:OLEObject Type="Embed" ProgID="Equation.3" ShapeID="_x0000_i1036" DrawAspect="Content" ObjectID="_1355989903" r:id="rId30"/>
        </w:object>
      </w:r>
    </w:p>
    <w:p w:rsidR="00D70040" w:rsidRDefault="00D70040" w:rsidP="00D70040">
      <w:pPr>
        <w:pStyle w:val="Header"/>
        <w:tabs>
          <w:tab w:val="clear" w:pos="4320"/>
          <w:tab w:val="clear" w:pos="8640"/>
        </w:tabs>
        <w:spacing w:line="360" w:lineRule="auto"/>
        <w:ind w:left="1440"/>
      </w:pPr>
      <w:r>
        <w:t>(1.12</w:t>
      </w:r>
      <w:r>
        <w:rPr>
          <w:vertAlign w:val="superscript"/>
        </w:rPr>
        <w:t>2</w:t>
      </w:r>
      <w:r>
        <w:t>)(xC</w:t>
      </w:r>
      <w:r>
        <w:rPr>
          <w:vertAlign w:val="subscript"/>
        </w:rPr>
        <w:t>1</w:t>
      </w:r>
      <w:r>
        <w:t>) + (1.12</w:t>
      </w:r>
      <w:proofErr w:type="gramStart"/>
      <w:r>
        <w:t>)(</w:t>
      </w:r>
      <w:proofErr w:type="gramEnd"/>
      <w:r>
        <w:t>xC</w:t>
      </w:r>
      <w:r>
        <w:rPr>
          <w:vertAlign w:val="subscript"/>
        </w:rPr>
        <w:t>2</w:t>
      </w:r>
      <w:r>
        <w:t xml:space="preserve">) = </w:t>
      </w:r>
      <w:r>
        <w:rPr>
          <w:rFonts w:cs="Arial"/>
        </w:rPr>
        <w:t>–</w:t>
      </w:r>
      <w:r>
        <w:t>C</w:t>
      </w:r>
      <w:r>
        <w:rPr>
          <w:vertAlign w:val="subscript"/>
        </w:rPr>
        <w:t>3</w:t>
      </w:r>
    </w:p>
    <w:p w:rsidR="00D70040" w:rsidRDefault="00D70040" w:rsidP="00D70040">
      <w:pPr>
        <w:pStyle w:val="Header"/>
        <w:tabs>
          <w:tab w:val="clear" w:pos="4320"/>
          <w:tab w:val="clear" w:pos="8640"/>
        </w:tabs>
        <w:spacing w:line="360" w:lineRule="auto"/>
        <w:ind w:left="1440"/>
        <w:rPr>
          <w:vertAlign w:val="subscript"/>
        </w:rPr>
      </w:pPr>
      <w:r>
        <w:t>(x)[(1.12</w:t>
      </w:r>
      <w:r>
        <w:rPr>
          <w:vertAlign w:val="superscript"/>
        </w:rPr>
        <w:t>2</w:t>
      </w:r>
      <w:proofErr w:type="gramStart"/>
      <w:r>
        <w:t>)(</w:t>
      </w:r>
      <w:proofErr w:type="gramEnd"/>
      <w:r>
        <w:t>C</w:t>
      </w:r>
      <w:r>
        <w:rPr>
          <w:vertAlign w:val="subscript"/>
        </w:rPr>
        <w:t>1</w:t>
      </w:r>
      <w:r>
        <w:t>) + (1.12C</w:t>
      </w:r>
      <w:r>
        <w:rPr>
          <w:vertAlign w:val="subscript"/>
        </w:rPr>
        <w:t>2</w:t>
      </w:r>
      <w:r>
        <w:t xml:space="preserve">)] = </w:t>
      </w:r>
      <w:r>
        <w:rPr>
          <w:rFonts w:cs="Arial"/>
        </w:rPr>
        <w:t>–</w:t>
      </w:r>
      <w:r>
        <w:t>C</w:t>
      </w:r>
      <w:r>
        <w:rPr>
          <w:vertAlign w:val="subscript"/>
        </w:rPr>
        <w:t>3</w:t>
      </w:r>
    </w:p>
    <w:p w:rsidR="00D70040" w:rsidRDefault="00D70040" w:rsidP="00D70040">
      <w:pPr>
        <w:pStyle w:val="Header"/>
        <w:tabs>
          <w:tab w:val="clear" w:pos="4320"/>
          <w:tab w:val="clear" w:pos="8640"/>
        </w:tabs>
        <w:spacing w:line="360" w:lineRule="auto"/>
        <w:ind w:left="1440"/>
      </w:pPr>
      <w:r>
        <w:rPr>
          <w:vertAlign w:val="subscript"/>
        </w:rPr>
        <w:br w:type="page"/>
      </w:r>
      <w:r w:rsidRPr="00B46618">
        <w:rPr>
          <w:noProof/>
          <w:position w:val="-30"/>
        </w:rPr>
        <w:object w:dxaOrig="3080" w:dyaOrig="700">
          <v:shape id="_x0000_i1037" type="#_x0000_t75" style="width:153.75pt;height:35.25pt" o:ole="" fillcolor="window">
            <v:imagedata r:id="rId31" o:title=""/>
          </v:shape>
          <o:OLEObject Type="Embed" ProgID="Equation.3" ShapeID="_x0000_i1037" DrawAspect="Content" ObjectID="_1355989904" r:id="rId32"/>
        </w:object>
      </w:r>
    </w:p>
    <w:p w:rsidR="00D70040" w:rsidRDefault="00D70040" w:rsidP="00D70040">
      <w:pPr>
        <w:pStyle w:val="Header"/>
        <w:tabs>
          <w:tab w:val="clear" w:pos="4320"/>
          <w:tab w:val="clear" w:pos="8640"/>
        </w:tabs>
        <w:spacing w:line="360" w:lineRule="auto"/>
        <w:ind w:left="1440"/>
      </w:pPr>
      <w:r w:rsidRPr="00B46618">
        <w:rPr>
          <w:noProof/>
          <w:position w:val="-30"/>
        </w:rPr>
        <w:object w:dxaOrig="4620" w:dyaOrig="680">
          <v:shape id="_x0000_i1038" type="#_x0000_t75" style="width:231pt;height:33.75pt" o:ole="" fillcolor="window">
            <v:imagedata r:id="rId33" o:title=""/>
          </v:shape>
          <o:OLEObject Type="Embed" ProgID="Equation.3" ShapeID="_x0000_i1038" DrawAspect="Content" ObjectID="_1355989905" r:id="rId34"/>
        </w:object>
      </w:r>
    </w:p>
    <w:p w:rsidR="00D70040" w:rsidRDefault="00D70040" w:rsidP="00D70040">
      <w:pPr>
        <w:pStyle w:val="Header"/>
        <w:tabs>
          <w:tab w:val="clear" w:pos="4320"/>
          <w:tab w:val="clear" w:pos="8640"/>
        </w:tabs>
        <w:spacing w:line="360" w:lineRule="auto"/>
        <w:ind w:left="1440"/>
        <w:rPr>
          <w:noProof/>
        </w:rPr>
      </w:pPr>
      <w:r>
        <w:rPr>
          <w:noProof/>
          <w:position w:val="-28"/>
        </w:rPr>
        <w:object w:dxaOrig="3200" w:dyaOrig="660">
          <v:shape id="_x0000_i1039" type="#_x0000_t75" style="width:159.75pt;height:33pt" o:ole="" fillcolor="window">
            <v:imagedata r:id="rId35" o:title=""/>
          </v:shape>
          <o:OLEObject Type="Embed" ProgID="Equation.3" ShapeID="_x0000_i1039" DrawAspect="Content" ObjectID="_1355989906" r:id="rId36"/>
        </w:object>
      </w:r>
    </w:p>
    <w:p w:rsidR="00D70040" w:rsidRDefault="00D70040" w:rsidP="00D70040">
      <w:pPr>
        <w:pStyle w:val="Header"/>
        <w:tabs>
          <w:tab w:val="clear" w:pos="4320"/>
          <w:tab w:val="clear" w:pos="8640"/>
        </w:tabs>
        <w:spacing w:line="360" w:lineRule="auto"/>
        <w:ind w:left="1440"/>
        <w:rPr>
          <w:noProof/>
        </w:rPr>
      </w:pPr>
      <w:r>
        <w:rPr>
          <w:noProof/>
          <w:position w:val="-28"/>
        </w:rPr>
        <w:object w:dxaOrig="5000" w:dyaOrig="660">
          <v:shape id="_x0000_i1040" type="#_x0000_t75" style="width:249.75pt;height:33pt" o:ole="" fillcolor="window">
            <v:imagedata r:id="rId37" o:title=""/>
          </v:shape>
          <o:OLEObject Type="Embed" ProgID="Equation.3" ShapeID="_x0000_i1040" DrawAspect="Content" ObjectID="_1355989907" r:id="rId38"/>
        </w:object>
      </w:r>
    </w:p>
    <w:p w:rsidR="00D70040" w:rsidRDefault="00D70040" w:rsidP="00D70040">
      <w:pPr>
        <w:pStyle w:val="Header"/>
        <w:tabs>
          <w:tab w:val="clear" w:pos="4320"/>
          <w:tab w:val="clear" w:pos="8640"/>
        </w:tabs>
        <w:spacing w:after="120"/>
        <w:ind w:left="1440"/>
      </w:pPr>
      <w:r>
        <w:t>Now, find MIRR using either trial and error or the IRR function (on a financial calculator or Excel).  We find that MIRR = 23.53%.</w:t>
      </w:r>
    </w:p>
    <w:p w:rsidR="00D70040" w:rsidRDefault="00D70040" w:rsidP="00D70040">
      <w:pPr>
        <w:pStyle w:val="Header"/>
        <w:tabs>
          <w:tab w:val="clear" w:pos="4320"/>
          <w:tab w:val="clear" w:pos="8640"/>
        </w:tabs>
        <w:ind w:left="1440"/>
      </w:pPr>
      <w:r>
        <w:t>It is not clear that either of these modified IRRs is at all meaningful.  Rather, these calculations seem to highlight the fact that MIRR really has no economic meaning.</w:t>
      </w:r>
    </w:p>
    <w:p w:rsidR="00D70040" w:rsidRDefault="00D70040" w:rsidP="00D70040">
      <w:pPr>
        <w:pStyle w:val="Header"/>
        <w:tabs>
          <w:tab w:val="clear" w:pos="4320"/>
          <w:tab w:val="clear" w:pos="8640"/>
        </w:tabs>
        <w:spacing w:line="120" w:lineRule="exact"/>
      </w:pPr>
    </w:p>
    <w:p w:rsidR="00D70040" w:rsidRDefault="00D70040" w:rsidP="00D70040">
      <w:pPr>
        <w:pStyle w:val="Header"/>
        <w:tabs>
          <w:tab w:val="clear" w:pos="4320"/>
          <w:tab w:val="clear" w:pos="8640"/>
        </w:tabs>
        <w:spacing w:line="120" w:lineRule="exact"/>
      </w:pPr>
    </w:p>
    <w:p w:rsidR="00D70040" w:rsidRDefault="00D70040" w:rsidP="00D70040">
      <w:pPr>
        <w:pStyle w:val="Header"/>
        <w:tabs>
          <w:tab w:val="clear" w:pos="4320"/>
          <w:tab w:val="clear" w:pos="8640"/>
        </w:tabs>
        <w:spacing w:line="120" w:lineRule="exact"/>
      </w:pPr>
    </w:p>
    <w:p w:rsidR="00D70040" w:rsidRDefault="00D70040" w:rsidP="00D70040">
      <w:pPr>
        <w:pStyle w:val="Header"/>
        <w:tabs>
          <w:tab w:val="clear" w:pos="4320"/>
          <w:tab w:val="clear" w:pos="8640"/>
        </w:tabs>
        <w:spacing w:line="120" w:lineRule="exact"/>
      </w:pPr>
    </w:p>
    <w:p w:rsidR="00D70040" w:rsidRDefault="00D70040" w:rsidP="00D70040">
      <w:pPr>
        <w:pStyle w:val="Header"/>
        <w:tabs>
          <w:tab w:val="clear" w:pos="4320"/>
          <w:tab w:val="clear" w:pos="8640"/>
          <w:tab w:val="left" w:pos="720"/>
          <w:tab w:val="left" w:pos="2160"/>
        </w:tabs>
        <w:spacing w:after="120"/>
        <w:ind w:left="720" w:hanging="720"/>
      </w:pPr>
      <w:r>
        <w:t>18.</w:t>
      </w:r>
      <w:r>
        <w:tab/>
        <w:t>Maximize:</w:t>
      </w:r>
      <w:r>
        <w:tab/>
        <w:t>NPV = 6,700</w:t>
      </w:r>
      <w:r>
        <w:rPr>
          <w:i/>
        </w:rPr>
        <w:t>x</w:t>
      </w:r>
      <w:r>
        <w:rPr>
          <w:vertAlign w:val="subscript"/>
        </w:rPr>
        <w:t>W</w:t>
      </w:r>
      <w:r>
        <w:t xml:space="preserve"> + 9,000</w:t>
      </w:r>
      <w:r>
        <w:rPr>
          <w:i/>
        </w:rPr>
        <w:t>x</w:t>
      </w:r>
      <w:r>
        <w:rPr>
          <w:vertAlign w:val="subscript"/>
        </w:rPr>
        <w:t>X</w:t>
      </w:r>
      <w:r>
        <w:t xml:space="preserve"> + 0X</w:t>
      </w:r>
      <w:r>
        <w:rPr>
          <w:vertAlign w:val="subscript"/>
        </w:rPr>
        <w:t>Y</w:t>
      </w:r>
      <w:r>
        <w:t xml:space="preserve"> </w:t>
      </w:r>
      <w:r>
        <w:rPr>
          <w:rFonts w:cs="Arial"/>
        </w:rPr>
        <w:t>–</w:t>
      </w:r>
      <w:r>
        <w:t xml:space="preserve"> 1,500</w:t>
      </w:r>
      <w:r>
        <w:rPr>
          <w:i/>
        </w:rPr>
        <w:t>x</w:t>
      </w:r>
      <w:r>
        <w:rPr>
          <w:vertAlign w:val="subscript"/>
        </w:rPr>
        <w:t>Z</w:t>
      </w:r>
    </w:p>
    <w:p w:rsidR="00D70040" w:rsidRDefault="00D70040" w:rsidP="00D70040">
      <w:pPr>
        <w:pStyle w:val="Header"/>
        <w:tabs>
          <w:tab w:val="clear" w:pos="4320"/>
          <w:tab w:val="clear" w:pos="8640"/>
          <w:tab w:val="left" w:pos="2160"/>
        </w:tabs>
        <w:spacing w:after="120"/>
        <w:ind w:left="720"/>
      </w:pPr>
      <w:proofErr w:type="gramStart"/>
      <w:r>
        <w:t>subject</w:t>
      </w:r>
      <w:proofErr w:type="gramEnd"/>
      <w:r>
        <w:t xml:space="preserve"> to:</w:t>
      </w:r>
      <w:r>
        <w:tab/>
        <w:t>10,000</w:t>
      </w:r>
      <w:r>
        <w:rPr>
          <w:i/>
        </w:rPr>
        <w:t>x</w:t>
      </w:r>
      <w:r>
        <w:rPr>
          <w:vertAlign w:val="subscript"/>
        </w:rPr>
        <w:t>W</w:t>
      </w:r>
      <w:r>
        <w:t xml:space="preserve"> + 0</w:t>
      </w:r>
      <w:r>
        <w:rPr>
          <w:i/>
        </w:rPr>
        <w:t>x</w:t>
      </w:r>
      <w:r>
        <w:rPr>
          <w:vertAlign w:val="subscript"/>
        </w:rPr>
        <w:t>X</w:t>
      </w:r>
      <w:r>
        <w:t xml:space="preserve"> + 10,000</w:t>
      </w:r>
      <w:r>
        <w:rPr>
          <w:i/>
        </w:rPr>
        <w:t>x</w:t>
      </w:r>
      <w:r>
        <w:rPr>
          <w:vertAlign w:val="subscript"/>
        </w:rPr>
        <w:t>Y</w:t>
      </w:r>
      <w:r>
        <w:t xml:space="preserve"> + 15,000</w:t>
      </w:r>
      <w:r>
        <w:rPr>
          <w:i/>
        </w:rPr>
        <w:t>x</w:t>
      </w:r>
      <w:r>
        <w:rPr>
          <w:vertAlign w:val="subscript"/>
        </w:rPr>
        <w:t>Z</w:t>
      </w:r>
      <w:r>
        <w:t xml:space="preserve"> </w:t>
      </w:r>
      <w:r>
        <w:sym w:font="Symbol" w:char="F0A3"/>
      </w:r>
      <w:r>
        <w:t xml:space="preserve"> 20,000</w:t>
      </w:r>
    </w:p>
    <w:p w:rsidR="00D70040" w:rsidRDefault="00D70040" w:rsidP="00D70040">
      <w:pPr>
        <w:pStyle w:val="Header"/>
        <w:tabs>
          <w:tab w:val="clear" w:pos="4320"/>
          <w:tab w:val="clear" w:pos="8640"/>
        </w:tabs>
        <w:spacing w:after="120"/>
        <w:ind w:left="2160"/>
      </w:pPr>
      <w:r>
        <w:t>10,000</w:t>
      </w:r>
      <w:r>
        <w:rPr>
          <w:i/>
        </w:rPr>
        <w:t>x</w:t>
      </w:r>
      <w:r>
        <w:rPr>
          <w:vertAlign w:val="subscript"/>
        </w:rPr>
        <w:t>W</w:t>
      </w:r>
      <w:r>
        <w:t xml:space="preserve"> + 20,000</w:t>
      </w:r>
      <w:r>
        <w:rPr>
          <w:i/>
        </w:rPr>
        <w:t>x</w:t>
      </w:r>
      <w:r>
        <w:rPr>
          <w:vertAlign w:val="subscript"/>
        </w:rPr>
        <w:t>X</w:t>
      </w:r>
      <w:r>
        <w:t xml:space="preserve"> </w:t>
      </w:r>
      <w:r>
        <w:rPr>
          <w:rFonts w:cs="Arial"/>
        </w:rPr>
        <w:t>–</w:t>
      </w:r>
      <w:r>
        <w:t xml:space="preserve"> 5,000</w:t>
      </w:r>
      <w:r>
        <w:rPr>
          <w:i/>
        </w:rPr>
        <w:t>x</w:t>
      </w:r>
      <w:r>
        <w:rPr>
          <w:vertAlign w:val="subscript"/>
        </w:rPr>
        <w:t>Y</w:t>
      </w:r>
      <w:r>
        <w:t xml:space="preserve"> </w:t>
      </w:r>
      <w:r>
        <w:rPr>
          <w:rFonts w:cs="Arial"/>
        </w:rPr>
        <w:t>–</w:t>
      </w:r>
      <w:r>
        <w:t xml:space="preserve"> 5,000</w:t>
      </w:r>
      <w:r>
        <w:rPr>
          <w:i/>
        </w:rPr>
        <w:t>x</w:t>
      </w:r>
      <w:r>
        <w:rPr>
          <w:vertAlign w:val="subscript"/>
        </w:rPr>
        <w:t>Z</w:t>
      </w:r>
      <w:r>
        <w:t xml:space="preserve"> </w:t>
      </w:r>
      <w:r>
        <w:sym w:font="Symbol" w:char="F0A3"/>
      </w:r>
      <w:r>
        <w:t xml:space="preserve"> 20,000</w:t>
      </w:r>
    </w:p>
    <w:p w:rsidR="00D70040" w:rsidRDefault="00D70040" w:rsidP="00D70040">
      <w:pPr>
        <w:pStyle w:val="Header"/>
        <w:tabs>
          <w:tab w:val="clear" w:pos="4320"/>
          <w:tab w:val="clear" w:pos="8640"/>
        </w:tabs>
        <w:spacing w:after="120"/>
        <w:ind w:left="2160"/>
      </w:pPr>
      <w:r>
        <w:t>0</w:t>
      </w:r>
      <w:r>
        <w:rPr>
          <w:i/>
        </w:rPr>
        <w:t>x</w:t>
      </w:r>
      <w:r>
        <w:rPr>
          <w:vertAlign w:val="subscript"/>
        </w:rPr>
        <w:t>W</w:t>
      </w:r>
      <w:r>
        <w:t xml:space="preserve"> - 5,000</w:t>
      </w:r>
      <w:r>
        <w:rPr>
          <w:i/>
        </w:rPr>
        <w:t>x</w:t>
      </w:r>
      <w:r>
        <w:rPr>
          <w:vertAlign w:val="subscript"/>
        </w:rPr>
        <w:t>X</w:t>
      </w:r>
      <w:r>
        <w:t xml:space="preserve"> </w:t>
      </w:r>
      <w:r>
        <w:rPr>
          <w:rFonts w:cs="Arial"/>
        </w:rPr>
        <w:t>–</w:t>
      </w:r>
      <w:r>
        <w:t xml:space="preserve"> 5,000</w:t>
      </w:r>
      <w:r>
        <w:rPr>
          <w:i/>
        </w:rPr>
        <w:t>x</w:t>
      </w:r>
      <w:r>
        <w:rPr>
          <w:vertAlign w:val="subscript"/>
        </w:rPr>
        <w:t>Y</w:t>
      </w:r>
      <w:r>
        <w:t xml:space="preserve"> </w:t>
      </w:r>
      <w:r>
        <w:rPr>
          <w:rFonts w:cs="Arial"/>
        </w:rPr>
        <w:t>–</w:t>
      </w:r>
      <w:r>
        <w:t xml:space="preserve"> 4,000</w:t>
      </w:r>
      <w:r>
        <w:rPr>
          <w:i/>
        </w:rPr>
        <w:t>x</w:t>
      </w:r>
      <w:r>
        <w:rPr>
          <w:vertAlign w:val="subscript"/>
        </w:rPr>
        <w:t>Z</w:t>
      </w:r>
      <w:r>
        <w:t xml:space="preserve"> </w:t>
      </w:r>
      <w:r>
        <w:sym w:font="Symbol" w:char="F0A3"/>
      </w:r>
      <w:r>
        <w:t xml:space="preserve"> 20,000</w:t>
      </w:r>
    </w:p>
    <w:p w:rsidR="00D70040" w:rsidRDefault="00D70040" w:rsidP="00D70040">
      <w:pPr>
        <w:pStyle w:val="Header"/>
        <w:tabs>
          <w:tab w:val="clear" w:pos="4320"/>
          <w:tab w:val="clear" w:pos="8640"/>
        </w:tabs>
        <w:spacing w:after="120"/>
        <w:ind w:left="2160"/>
      </w:pPr>
      <w:r>
        <w:t>0 </w:t>
      </w:r>
      <w:r>
        <w:sym w:font="Symbol" w:char="F0A3"/>
      </w:r>
      <w:r>
        <w:t xml:space="preserve"> </w:t>
      </w:r>
      <w:proofErr w:type="spellStart"/>
      <w:r>
        <w:rPr>
          <w:i/>
        </w:rPr>
        <w:t>x</w:t>
      </w:r>
      <w:r>
        <w:rPr>
          <w:vertAlign w:val="subscript"/>
        </w:rPr>
        <w:t>W</w:t>
      </w:r>
      <w:proofErr w:type="spellEnd"/>
      <w:r>
        <w:t xml:space="preserve"> </w:t>
      </w:r>
      <w:r>
        <w:sym w:font="Symbol" w:char="F0A3"/>
      </w:r>
      <w:r>
        <w:t xml:space="preserve"> 1</w:t>
      </w:r>
    </w:p>
    <w:p w:rsidR="00D70040" w:rsidRDefault="00D70040" w:rsidP="00D70040">
      <w:pPr>
        <w:pStyle w:val="Header"/>
        <w:tabs>
          <w:tab w:val="clear" w:pos="4320"/>
          <w:tab w:val="clear" w:pos="8640"/>
        </w:tabs>
        <w:spacing w:after="120"/>
        <w:ind w:left="2160"/>
      </w:pPr>
      <w:r>
        <w:t>0 </w:t>
      </w:r>
      <w:r>
        <w:sym w:font="Symbol" w:char="F0A3"/>
      </w:r>
      <w:r>
        <w:t xml:space="preserve"> </w:t>
      </w:r>
      <w:proofErr w:type="spellStart"/>
      <w:r>
        <w:rPr>
          <w:i/>
        </w:rPr>
        <w:t>x</w:t>
      </w:r>
      <w:r>
        <w:rPr>
          <w:vertAlign w:val="subscript"/>
        </w:rPr>
        <w:t>X</w:t>
      </w:r>
      <w:proofErr w:type="spellEnd"/>
      <w:r>
        <w:t xml:space="preserve">  </w:t>
      </w:r>
      <w:r>
        <w:sym w:font="Symbol" w:char="F0A3"/>
      </w:r>
      <w:r>
        <w:t xml:space="preserve"> 1</w:t>
      </w:r>
    </w:p>
    <w:p w:rsidR="00D70040" w:rsidRDefault="00D70040" w:rsidP="00D70040">
      <w:pPr>
        <w:pStyle w:val="Header"/>
        <w:tabs>
          <w:tab w:val="clear" w:pos="4320"/>
          <w:tab w:val="clear" w:pos="8640"/>
        </w:tabs>
        <w:spacing w:after="120"/>
        <w:ind w:left="2160"/>
      </w:pPr>
      <w:r>
        <w:t xml:space="preserve">0 </w:t>
      </w:r>
      <w:r>
        <w:sym w:font="Symbol" w:char="F0A3"/>
      </w:r>
      <w:r>
        <w:t xml:space="preserve"> </w:t>
      </w:r>
      <w:proofErr w:type="spellStart"/>
      <w:r>
        <w:rPr>
          <w:i/>
        </w:rPr>
        <w:t>x</w:t>
      </w:r>
      <w:r>
        <w:rPr>
          <w:vertAlign w:val="subscript"/>
        </w:rPr>
        <w:t>Z</w:t>
      </w:r>
      <w:proofErr w:type="spellEnd"/>
      <w:r>
        <w:t xml:space="preserve">  </w:t>
      </w:r>
      <w:r>
        <w:sym w:font="Symbol" w:char="F0A3"/>
      </w:r>
      <w:r>
        <w:t xml:space="preserve"> 1</w:t>
      </w:r>
    </w:p>
    <w:p w:rsidR="00D70040" w:rsidRDefault="00D70040" w:rsidP="00D70040">
      <w:pPr>
        <w:pStyle w:val="Header"/>
        <w:tabs>
          <w:tab w:val="clear" w:pos="4320"/>
          <w:tab w:val="clear" w:pos="8640"/>
        </w:tabs>
        <w:spacing w:after="120"/>
        <w:ind w:left="720"/>
      </w:pPr>
      <w:r>
        <w:t>Using Excel Spreadsheet Add-in Linear Programming Module:</w:t>
      </w:r>
    </w:p>
    <w:p w:rsidR="00D70040" w:rsidRDefault="00D70040" w:rsidP="00D70040">
      <w:pPr>
        <w:pStyle w:val="Header"/>
        <w:tabs>
          <w:tab w:val="clear" w:pos="4320"/>
          <w:tab w:val="clear" w:pos="8640"/>
        </w:tabs>
        <w:spacing w:after="120"/>
        <w:ind w:left="1440"/>
      </w:pPr>
      <w:r>
        <w:t>Optimized NPV = $13,450</w:t>
      </w:r>
    </w:p>
    <w:p w:rsidR="00D70040" w:rsidRDefault="00D70040" w:rsidP="00D70040">
      <w:pPr>
        <w:pStyle w:val="Header"/>
        <w:tabs>
          <w:tab w:val="clear" w:pos="4320"/>
          <w:tab w:val="clear" w:pos="8640"/>
        </w:tabs>
        <w:spacing w:after="120"/>
        <w:ind w:left="1440"/>
      </w:pPr>
      <w:proofErr w:type="gramStart"/>
      <w:r>
        <w:t>with</w:t>
      </w:r>
      <w:proofErr w:type="gramEnd"/>
      <w:r>
        <w:t xml:space="preserve"> </w:t>
      </w:r>
      <w:proofErr w:type="spellStart"/>
      <w:r>
        <w:rPr>
          <w:i/>
        </w:rPr>
        <w:t>x</w:t>
      </w:r>
      <w:r>
        <w:rPr>
          <w:vertAlign w:val="subscript"/>
        </w:rPr>
        <w:t>W</w:t>
      </w:r>
      <w:proofErr w:type="spellEnd"/>
      <w:r>
        <w:t xml:space="preserve"> = 1; </w:t>
      </w:r>
      <w:proofErr w:type="spellStart"/>
      <w:r>
        <w:rPr>
          <w:i/>
        </w:rPr>
        <w:t>x</w:t>
      </w:r>
      <w:r>
        <w:rPr>
          <w:vertAlign w:val="subscript"/>
        </w:rPr>
        <w:t>X</w:t>
      </w:r>
      <w:proofErr w:type="spellEnd"/>
      <w:r>
        <w:t xml:space="preserve"> = 0.75; </w:t>
      </w:r>
      <w:proofErr w:type="spellStart"/>
      <w:r>
        <w:rPr>
          <w:i/>
        </w:rPr>
        <w:t>x</w:t>
      </w:r>
      <w:r>
        <w:rPr>
          <w:vertAlign w:val="subscript"/>
        </w:rPr>
        <w:t>Y</w:t>
      </w:r>
      <w:proofErr w:type="spellEnd"/>
      <w:r>
        <w:t xml:space="preserve"> = 1 and </w:t>
      </w:r>
      <w:proofErr w:type="spellStart"/>
      <w:r>
        <w:rPr>
          <w:i/>
        </w:rPr>
        <w:t>x</w:t>
      </w:r>
      <w:r>
        <w:rPr>
          <w:vertAlign w:val="subscript"/>
        </w:rPr>
        <w:t>Z</w:t>
      </w:r>
      <w:proofErr w:type="spellEnd"/>
      <w:r>
        <w:t xml:space="preserve"> = 0</w:t>
      </w:r>
    </w:p>
    <w:p w:rsidR="00D70040" w:rsidRDefault="00D70040" w:rsidP="00D70040">
      <w:pPr>
        <w:pStyle w:val="Header"/>
        <w:tabs>
          <w:tab w:val="clear" w:pos="4320"/>
          <w:tab w:val="clear" w:pos="8640"/>
        </w:tabs>
        <w:spacing w:after="120"/>
        <w:ind w:firstLine="720"/>
      </w:pPr>
      <w:r>
        <w:t>If financing available at t = 0 is $21,000:</w:t>
      </w:r>
      <w:r w:rsidRPr="00AC5E82">
        <w:t xml:space="preserve"> </w:t>
      </w:r>
    </w:p>
    <w:p w:rsidR="00D70040" w:rsidRDefault="00D70040" w:rsidP="00D70040">
      <w:pPr>
        <w:pStyle w:val="Header"/>
        <w:tabs>
          <w:tab w:val="clear" w:pos="4320"/>
          <w:tab w:val="clear" w:pos="8640"/>
        </w:tabs>
        <w:spacing w:after="120"/>
        <w:ind w:left="1440"/>
      </w:pPr>
      <w:r>
        <w:t>Optimized NPV = $13,500</w:t>
      </w:r>
    </w:p>
    <w:p w:rsidR="00D70040" w:rsidRDefault="00D70040" w:rsidP="00D70040">
      <w:pPr>
        <w:pStyle w:val="Header"/>
        <w:tabs>
          <w:tab w:val="clear" w:pos="4320"/>
          <w:tab w:val="clear" w:pos="8640"/>
        </w:tabs>
        <w:spacing w:after="120"/>
        <w:ind w:left="1440"/>
      </w:pPr>
      <w:proofErr w:type="gramStart"/>
      <w:r>
        <w:t>with</w:t>
      </w:r>
      <w:proofErr w:type="gramEnd"/>
      <w:r>
        <w:t xml:space="preserve"> </w:t>
      </w:r>
      <w:proofErr w:type="spellStart"/>
      <w:r>
        <w:rPr>
          <w:i/>
        </w:rPr>
        <w:t>x</w:t>
      </w:r>
      <w:r>
        <w:rPr>
          <w:vertAlign w:val="subscript"/>
        </w:rPr>
        <w:t>W</w:t>
      </w:r>
      <w:proofErr w:type="spellEnd"/>
      <w:r>
        <w:t xml:space="preserve"> = 1; </w:t>
      </w:r>
      <w:proofErr w:type="spellStart"/>
      <w:r>
        <w:rPr>
          <w:i/>
        </w:rPr>
        <w:t>x</w:t>
      </w:r>
      <w:r>
        <w:rPr>
          <w:vertAlign w:val="subscript"/>
        </w:rPr>
        <w:t>X</w:t>
      </w:r>
      <w:proofErr w:type="spellEnd"/>
      <w:r>
        <w:t xml:space="preserve"> = (23/30); </w:t>
      </w:r>
      <w:proofErr w:type="spellStart"/>
      <w:r>
        <w:rPr>
          <w:i/>
        </w:rPr>
        <w:t>x</w:t>
      </w:r>
      <w:r>
        <w:rPr>
          <w:vertAlign w:val="subscript"/>
        </w:rPr>
        <w:t>Y</w:t>
      </w:r>
      <w:proofErr w:type="spellEnd"/>
      <w:r>
        <w:t xml:space="preserve"> = 1 and </w:t>
      </w:r>
      <w:proofErr w:type="spellStart"/>
      <w:r>
        <w:rPr>
          <w:i/>
        </w:rPr>
        <w:t>x</w:t>
      </w:r>
      <w:r>
        <w:rPr>
          <w:vertAlign w:val="subscript"/>
        </w:rPr>
        <w:t>Z</w:t>
      </w:r>
      <w:proofErr w:type="spellEnd"/>
      <w:r>
        <w:t xml:space="preserve"> = (2/30)</w:t>
      </w:r>
    </w:p>
    <w:p w:rsidR="00D70040" w:rsidRDefault="00D70040" w:rsidP="00D70040">
      <w:pPr>
        <w:pStyle w:val="Header"/>
        <w:tabs>
          <w:tab w:val="clear" w:pos="4320"/>
          <w:tab w:val="clear" w:pos="8640"/>
        </w:tabs>
        <w:spacing w:after="120"/>
        <w:ind w:left="720"/>
      </w:pPr>
      <w:r>
        <w:t>Here, the shadow price for the constraint at t = 0 is $50, the increase in NPV for a $1,000 increase in financing available at t = 0.</w:t>
      </w:r>
    </w:p>
    <w:p w:rsidR="00D70040" w:rsidRDefault="00D70040" w:rsidP="00D70040">
      <w:pPr>
        <w:pStyle w:val="Header"/>
        <w:tabs>
          <w:tab w:val="clear" w:pos="4320"/>
          <w:tab w:val="clear" w:pos="8640"/>
        </w:tabs>
        <w:spacing w:after="120"/>
        <w:ind w:left="720"/>
      </w:pPr>
      <w:r>
        <w:t xml:space="preserve">In this case, the program viewed </w:t>
      </w:r>
      <w:proofErr w:type="spellStart"/>
      <w:r>
        <w:t>x</w:t>
      </w:r>
      <w:r>
        <w:rPr>
          <w:vertAlign w:val="subscript"/>
        </w:rPr>
        <w:t>Z</w:t>
      </w:r>
      <w:proofErr w:type="spellEnd"/>
      <w:r>
        <w:t xml:space="preserve"> as a viable choice even though the NPV of Project Z is negative.  The reason for this result is that Project Z provides a positive cash flow in periods 1 and 2.</w:t>
      </w:r>
    </w:p>
    <w:p w:rsidR="00D70040" w:rsidRDefault="00D70040" w:rsidP="00D70040">
      <w:pPr>
        <w:pStyle w:val="Header"/>
        <w:tabs>
          <w:tab w:val="clear" w:pos="4320"/>
          <w:tab w:val="clear" w:pos="8640"/>
        </w:tabs>
        <w:spacing w:after="120"/>
        <w:ind w:left="720"/>
      </w:pPr>
      <w:r>
        <w:t>If the financing available at t = 1 is $21,000:</w:t>
      </w:r>
    </w:p>
    <w:p w:rsidR="00D70040" w:rsidRDefault="00D70040" w:rsidP="00D70040">
      <w:pPr>
        <w:pStyle w:val="Header"/>
        <w:tabs>
          <w:tab w:val="clear" w:pos="4320"/>
          <w:tab w:val="clear" w:pos="8640"/>
        </w:tabs>
        <w:spacing w:after="120"/>
        <w:ind w:left="1440"/>
      </w:pPr>
      <w:r>
        <w:t>Optimized NPV = $13,900</w:t>
      </w:r>
    </w:p>
    <w:p w:rsidR="00D70040" w:rsidRDefault="00D70040" w:rsidP="00D70040">
      <w:pPr>
        <w:pStyle w:val="Header"/>
        <w:tabs>
          <w:tab w:val="clear" w:pos="4320"/>
          <w:tab w:val="clear" w:pos="8640"/>
        </w:tabs>
        <w:spacing w:after="120"/>
        <w:ind w:left="1440"/>
      </w:pPr>
      <w:r>
        <w:br w:type="page"/>
      </w:r>
      <w:proofErr w:type="gramStart"/>
      <w:r>
        <w:lastRenderedPageBreak/>
        <w:t>with</w:t>
      </w:r>
      <w:proofErr w:type="gramEnd"/>
      <w:r>
        <w:t xml:space="preserve"> </w:t>
      </w:r>
      <w:proofErr w:type="spellStart"/>
      <w:r>
        <w:rPr>
          <w:i/>
        </w:rPr>
        <w:t>x</w:t>
      </w:r>
      <w:r>
        <w:rPr>
          <w:vertAlign w:val="subscript"/>
        </w:rPr>
        <w:t>W</w:t>
      </w:r>
      <w:proofErr w:type="spellEnd"/>
      <w:r>
        <w:t xml:space="preserve"> = 1; </w:t>
      </w:r>
      <w:proofErr w:type="spellStart"/>
      <w:r>
        <w:rPr>
          <w:i/>
        </w:rPr>
        <w:t>x</w:t>
      </w:r>
      <w:r>
        <w:rPr>
          <w:vertAlign w:val="subscript"/>
        </w:rPr>
        <w:t>X</w:t>
      </w:r>
      <w:proofErr w:type="spellEnd"/>
      <w:r>
        <w:t xml:space="preserve"> = 0.8; </w:t>
      </w:r>
      <w:proofErr w:type="spellStart"/>
      <w:r>
        <w:rPr>
          <w:i/>
        </w:rPr>
        <w:t>x</w:t>
      </w:r>
      <w:r>
        <w:rPr>
          <w:vertAlign w:val="subscript"/>
        </w:rPr>
        <w:t>Y</w:t>
      </w:r>
      <w:proofErr w:type="spellEnd"/>
      <w:r>
        <w:t xml:space="preserve"> = 1 and </w:t>
      </w:r>
      <w:proofErr w:type="spellStart"/>
      <w:r>
        <w:rPr>
          <w:i/>
        </w:rPr>
        <w:t>x</w:t>
      </w:r>
      <w:r>
        <w:rPr>
          <w:vertAlign w:val="subscript"/>
        </w:rPr>
        <w:t>Z</w:t>
      </w:r>
      <w:proofErr w:type="spellEnd"/>
      <w:r>
        <w:t xml:space="preserve"> = 0</w:t>
      </w:r>
    </w:p>
    <w:p w:rsidR="00D70040" w:rsidRDefault="00D70040" w:rsidP="00D70040">
      <w:pPr>
        <w:pStyle w:val="Header"/>
        <w:tabs>
          <w:tab w:val="clear" w:pos="4320"/>
          <w:tab w:val="clear" w:pos="8640"/>
        </w:tabs>
        <w:spacing w:after="120"/>
        <w:ind w:left="720"/>
      </w:pPr>
      <w:r>
        <w:t>Hence, the shadow price of an additional $1,000 in t =1 financing is $450.</w:t>
      </w:r>
    </w:p>
    <w:p w:rsidR="00D70040" w:rsidRPr="001E26D9" w:rsidRDefault="00D70040" w:rsidP="00D70040">
      <w:pPr>
        <w:pStyle w:val="Header"/>
        <w:tabs>
          <w:tab w:val="clear" w:pos="4320"/>
          <w:tab w:val="clear" w:pos="8640"/>
        </w:tabs>
        <w:spacing w:after="120"/>
        <w:ind w:left="720"/>
      </w:pPr>
    </w:p>
    <w:p w:rsidR="00BD3BC2" w:rsidRDefault="00BD3BC2"/>
    <w:sectPr w:rsidR="00BD3BC2" w:rsidSect="00D70040">
      <w:headerReference w:type="default" r:id="rId39"/>
      <w:footerReference w:type="even" r:id="rId40"/>
      <w:footerReference w:type="default" r:id="rId4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1" w:rsidRDefault="00CC1B94" w:rsidP="00BA1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381" w:rsidRDefault="00CC1B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24" w:rsidRPr="00BA1524" w:rsidRDefault="00CC1B94" w:rsidP="00BA1524">
    <w:pPr>
      <w:pStyle w:val="Footer"/>
      <w:framePr w:w="685" w:wrap="around" w:vAnchor="text" w:hAnchor="page" w:x="5482" w:y="7"/>
      <w:jc w:val="center"/>
      <w:rPr>
        <w:rStyle w:val="PageNumber"/>
        <w:rFonts w:ascii="Times New Roman" w:hAnsi="Times New Roman"/>
        <w:sz w:val="20"/>
      </w:rPr>
    </w:pPr>
    <w:r w:rsidRPr="00BA1524">
      <w:rPr>
        <w:rStyle w:val="PageNumber"/>
        <w:rFonts w:ascii="Times New Roman" w:hAnsi="Times New Roman"/>
        <w:sz w:val="20"/>
      </w:rPr>
      <w:t>5-</w:t>
    </w:r>
    <w:r w:rsidRPr="00BA1524">
      <w:rPr>
        <w:rStyle w:val="PageNumber"/>
        <w:rFonts w:ascii="Times New Roman" w:hAnsi="Times New Roman"/>
        <w:sz w:val="20"/>
      </w:rPr>
      <w:fldChar w:fldCharType="begin"/>
    </w:r>
    <w:r w:rsidRPr="00BA1524">
      <w:rPr>
        <w:rStyle w:val="PageNumber"/>
        <w:rFonts w:ascii="Times New Roman" w:hAnsi="Times New Roman"/>
        <w:sz w:val="20"/>
      </w:rPr>
      <w:instrText xml:space="preserve">PAGE  </w:instrText>
    </w:r>
    <w:r w:rsidRPr="00BA1524">
      <w:rPr>
        <w:rStyle w:val="PageNumber"/>
        <w:rFonts w:ascii="Times New Roman" w:hAnsi="Times New Roman"/>
        <w:sz w:val="20"/>
      </w:rPr>
      <w:fldChar w:fldCharType="separate"/>
    </w:r>
    <w:r w:rsidR="00D70040">
      <w:rPr>
        <w:rStyle w:val="PageNumber"/>
        <w:rFonts w:ascii="Times New Roman" w:hAnsi="Times New Roman"/>
        <w:noProof/>
        <w:sz w:val="20"/>
      </w:rPr>
      <w:t>1</w:t>
    </w:r>
    <w:r w:rsidRPr="00BA1524">
      <w:rPr>
        <w:rStyle w:val="PageNumber"/>
        <w:rFonts w:ascii="Times New Roman" w:hAnsi="Times New Roman"/>
        <w:sz w:val="20"/>
      </w:rPr>
      <w:fldChar w:fldCharType="end"/>
    </w:r>
  </w:p>
  <w:p w:rsidR="00D14381" w:rsidRPr="00BA1524" w:rsidRDefault="00CC1B94" w:rsidP="00BA1524">
    <w:pPr>
      <w:pStyle w:val="Footer"/>
      <w:rPr>
        <w:rFonts w:ascii="Times New Roman" w:hAnsi="Times New Roman"/>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1" w:rsidRPr="00BA1524" w:rsidRDefault="00CC1B94" w:rsidP="00BA1524">
    <w:pPr>
      <w:pStyle w:val="Header"/>
      <w:tabs>
        <w:tab w:val="clear" w:pos="4320"/>
      </w:tabs>
      <w:rPr>
        <w:rFonts w:ascii="t" w:hAnsi="t"/>
        <w:sz w:val="20"/>
      </w:rPr>
    </w:pPr>
    <w:r w:rsidRPr="00BA1524">
      <w:rPr>
        <w:rFonts w:ascii="t" w:hAnsi="t"/>
        <w:sz w:val="20"/>
      </w:rPr>
      <w:t>Chapter 05 - Net Present Value and Other Investment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1144"/>
    <w:multiLevelType w:val="singleLevel"/>
    <w:tmpl w:val="917A6AB4"/>
    <w:lvl w:ilvl="0">
      <w:start w:val="2"/>
      <w:numFmt w:val="lowerLetter"/>
      <w:lvlText w:val="%1."/>
      <w:lvlJc w:val="left"/>
      <w:pPr>
        <w:tabs>
          <w:tab w:val="num" w:pos="1440"/>
        </w:tabs>
        <w:ind w:left="1440" w:hanging="720"/>
      </w:pPr>
      <w:rPr>
        <w:rFonts w:hint="default"/>
      </w:rPr>
    </w:lvl>
  </w:abstractNum>
  <w:abstractNum w:abstractNumId="1">
    <w:nsid w:val="1F92620D"/>
    <w:multiLevelType w:val="singleLevel"/>
    <w:tmpl w:val="A7A61F38"/>
    <w:lvl w:ilvl="0">
      <w:start w:val="2"/>
      <w:numFmt w:val="lowerLetter"/>
      <w:lvlText w:val="%1."/>
      <w:lvlJc w:val="left"/>
      <w:pPr>
        <w:tabs>
          <w:tab w:val="num" w:pos="1440"/>
        </w:tabs>
        <w:ind w:left="1440" w:hanging="720"/>
      </w:pPr>
      <w:rPr>
        <w:rFonts w:hint="default"/>
      </w:rPr>
    </w:lvl>
  </w:abstractNum>
  <w:abstractNum w:abstractNumId="2">
    <w:nsid w:val="4A4461B4"/>
    <w:multiLevelType w:val="singleLevel"/>
    <w:tmpl w:val="FE2C9464"/>
    <w:lvl w:ilvl="0">
      <w:start w:val="2"/>
      <w:numFmt w:val="lowerLetter"/>
      <w:lvlText w:val="%1."/>
      <w:lvlJc w:val="left"/>
      <w:pPr>
        <w:tabs>
          <w:tab w:val="num" w:pos="1440"/>
        </w:tabs>
        <w:ind w:left="1440" w:hanging="720"/>
      </w:pPr>
      <w:rPr>
        <w:rFonts w:hint="default"/>
      </w:rPr>
    </w:lvl>
  </w:abstractNum>
  <w:abstractNum w:abstractNumId="3">
    <w:nsid w:val="5C806DAA"/>
    <w:multiLevelType w:val="singleLevel"/>
    <w:tmpl w:val="D3F86F5A"/>
    <w:lvl w:ilvl="0">
      <w:start w:val="2"/>
      <w:numFmt w:val="lowerLetter"/>
      <w:lvlText w:val="%1."/>
      <w:lvlJc w:val="left"/>
      <w:pPr>
        <w:tabs>
          <w:tab w:val="num" w:pos="1440"/>
        </w:tabs>
        <w:ind w:left="1440" w:hanging="7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70040"/>
    <w:rsid w:val="004F6A47"/>
    <w:rsid w:val="006E08FC"/>
    <w:rsid w:val="00731393"/>
    <w:rsid w:val="007F66C2"/>
    <w:rsid w:val="00960E5E"/>
    <w:rsid w:val="00BD3BC2"/>
    <w:rsid w:val="00C401FA"/>
    <w:rsid w:val="00CC1B94"/>
    <w:rsid w:val="00D70040"/>
    <w:rsid w:val="00E15F28"/>
    <w:rsid w:val="00E6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040"/>
    <w:rPr>
      <w:rFonts w:ascii="Arial" w:hAnsi="Arial"/>
      <w:sz w:val="24"/>
    </w:rPr>
  </w:style>
  <w:style w:type="paragraph" w:styleId="Heading2">
    <w:name w:val="heading 2"/>
    <w:basedOn w:val="Normal"/>
    <w:next w:val="Normal"/>
    <w:link w:val="Heading2Char"/>
    <w:qFormat/>
    <w:rsid w:val="00D70040"/>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0040"/>
    <w:rPr>
      <w:rFonts w:ascii="Arial" w:hAnsi="Arial"/>
      <w:i/>
      <w:sz w:val="24"/>
    </w:rPr>
  </w:style>
  <w:style w:type="paragraph" w:styleId="BodyTextIndent">
    <w:name w:val="Body Text Indent"/>
    <w:basedOn w:val="Normal"/>
    <w:link w:val="BodyTextIndentChar"/>
    <w:rsid w:val="00D70040"/>
    <w:pPr>
      <w:tabs>
        <w:tab w:val="left" w:pos="720"/>
      </w:tabs>
      <w:ind w:left="720" w:hanging="720"/>
    </w:pPr>
  </w:style>
  <w:style w:type="character" w:customStyle="1" w:styleId="BodyTextIndentChar">
    <w:name w:val="Body Text Indent Char"/>
    <w:basedOn w:val="DefaultParagraphFont"/>
    <w:link w:val="BodyTextIndent"/>
    <w:rsid w:val="00D70040"/>
    <w:rPr>
      <w:rFonts w:ascii="Arial" w:hAnsi="Arial"/>
      <w:sz w:val="24"/>
    </w:rPr>
  </w:style>
  <w:style w:type="paragraph" w:styleId="Header">
    <w:name w:val="header"/>
    <w:basedOn w:val="Normal"/>
    <w:link w:val="HeaderChar"/>
    <w:rsid w:val="00D70040"/>
    <w:pPr>
      <w:tabs>
        <w:tab w:val="center" w:pos="4320"/>
        <w:tab w:val="right" w:pos="8640"/>
      </w:tabs>
    </w:pPr>
  </w:style>
  <w:style w:type="character" w:customStyle="1" w:styleId="HeaderChar">
    <w:name w:val="Header Char"/>
    <w:basedOn w:val="DefaultParagraphFont"/>
    <w:link w:val="Header"/>
    <w:rsid w:val="00D70040"/>
    <w:rPr>
      <w:rFonts w:ascii="Arial" w:hAnsi="Arial"/>
      <w:sz w:val="24"/>
    </w:rPr>
  </w:style>
  <w:style w:type="paragraph" w:styleId="Footer">
    <w:name w:val="footer"/>
    <w:basedOn w:val="Normal"/>
    <w:link w:val="FooterChar"/>
    <w:rsid w:val="00D70040"/>
    <w:pPr>
      <w:tabs>
        <w:tab w:val="center" w:pos="4320"/>
        <w:tab w:val="right" w:pos="8640"/>
      </w:tabs>
    </w:pPr>
  </w:style>
  <w:style w:type="character" w:customStyle="1" w:styleId="FooterChar">
    <w:name w:val="Footer Char"/>
    <w:basedOn w:val="DefaultParagraphFont"/>
    <w:link w:val="Footer"/>
    <w:rsid w:val="00D70040"/>
    <w:rPr>
      <w:rFonts w:ascii="Arial" w:hAnsi="Arial"/>
      <w:sz w:val="24"/>
    </w:rPr>
  </w:style>
  <w:style w:type="character" w:styleId="PageNumber">
    <w:name w:val="page number"/>
    <w:basedOn w:val="DefaultParagraphFont"/>
    <w:rsid w:val="00D70040"/>
  </w:style>
  <w:style w:type="paragraph" w:styleId="BodyTextIndent2">
    <w:name w:val="Body Text Indent 2"/>
    <w:basedOn w:val="Normal"/>
    <w:link w:val="BodyTextIndent2Char"/>
    <w:rsid w:val="00D70040"/>
    <w:pPr>
      <w:tabs>
        <w:tab w:val="left" w:pos="720"/>
        <w:tab w:val="left" w:pos="1440"/>
      </w:tabs>
      <w:ind w:left="1440" w:hanging="1350"/>
    </w:pPr>
  </w:style>
  <w:style w:type="character" w:customStyle="1" w:styleId="BodyTextIndent2Char">
    <w:name w:val="Body Text Indent 2 Char"/>
    <w:basedOn w:val="DefaultParagraphFont"/>
    <w:link w:val="BodyTextIndent2"/>
    <w:rsid w:val="00D70040"/>
    <w:rPr>
      <w:rFonts w:ascii="Arial" w:hAnsi="Arial"/>
      <w:sz w:val="24"/>
    </w:rPr>
  </w:style>
  <w:style w:type="paragraph" w:styleId="BodyTextIndent3">
    <w:name w:val="Body Text Indent 3"/>
    <w:basedOn w:val="Normal"/>
    <w:link w:val="BodyTextIndent3Char"/>
    <w:rsid w:val="00D70040"/>
    <w:pPr>
      <w:tabs>
        <w:tab w:val="left" w:pos="720"/>
        <w:tab w:val="left" w:pos="1440"/>
      </w:tabs>
      <w:ind w:left="1440" w:hanging="1440"/>
    </w:pPr>
  </w:style>
  <w:style w:type="character" w:customStyle="1" w:styleId="BodyTextIndent3Char">
    <w:name w:val="Body Text Indent 3 Char"/>
    <w:basedOn w:val="DefaultParagraphFont"/>
    <w:link w:val="BodyTextIndent3"/>
    <w:rsid w:val="00D70040"/>
    <w:rPr>
      <w:rFonts w:ascii="Arial" w:hAnsi="Arial"/>
      <w:sz w:val="24"/>
    </w:rPr>
  </w:style>
  <w:style w:type="paragraph" w:customStyle="1" w:styleId="eaplnm">
    <w:name w:val="eap_ln.m"/>
    <w:basedOn w:val="Normal"/>
    <w:rsid w:val="00D70040"/>
    <w:pPr>
      <w:widowControl w:val="0"/>
      <w:tabs>
        <w:tab w:val="left" w:pos="360"/>
        <w:tab w:val="left" w:pos="600"/>
      </w:tabs>
      <w:autoSpaceDE w:val="0"/>
      <w:autoSpaceDN w:val="0"/>
      <w:adjustRightInd w:val="0"/>
      <w:spacing w:before="60" w:line="220" w:lineRule="atLeast"/>
      <w:ind w:left="360" w:hanging="360"/>
      <w:textAlignment w:val="center"/>
    </w:pPr>
    <w:rPr>
      <w:rFonts w:ascii="Palatino-Roman" w:hAnsi="Palatino-Roman"/>
      <w:color w:val="000000"/>
      <w:sz w:val="18"/>
      <w:szCs w:val="18"/>
    </w:rPr>
  </w:style>
  <w:style w:type="character" w:customStyle="1" w:styleId="bold">
    <w:name w:val="bold"/>
    <w:rsid w:val="00D70040"/>
    <w:rPr>
      <w:b/>
      <w:bCs/>
      <w:color w:val="000000"/>
      <w:w w:val="100"/>
    </w:rPr>
  </w:style>
  <w:style w:type="character" w:customStyle="1" w:styleId="italic">
    <w:name w:val="italic"/>
    <w:rsid w:val="00D70040"/>
    <w:rPr>
      <w:i/>
      <w:iCs/>
      <w:color w:val="000000"/>
      <w:w w:val="100"/>
    </w:rPr>
  </w:style>
  <w:style w:type="character" w:customStyle="1" w:styleId="sub">
    <w:name w:val="sub"/>
    <w:rsid w:val="00D70040"/>
    <w:rPr>
      <w:color w:val="000000"/>
      <w:w w:val="100"/>
      <w:vertAlign w:val="subscript"/>
    </w:rPr>
  </w:style>
  <w:style w:type="character" w:customStyle="1" w:styleId="sup">
    <w:name w:val="sup"/>
    <w:rsid w:val="00D70040"/>
    <w:rPr>
      <w:color w:val="000000"/>
      <w:w w:val="100"/>
      <w:vertAlign w:val="superscript"/>
    </w:rPr>
  </w:style>
  <w:style w:type="paragraph" w:styleId="BalloonText">
    <w:name w:val="Balloon Text"/>
    <w:basedOn w:val="Normal"/>
    <w:link w:val="BalloonTextChar"/>
    <w:rsid w:val="00D70040"/>
    <w:rPr>
      <w:rFonts w:ascii="Tahoma" w:hAnsi="Tahoma" w:cs="Tahoma"/>
      <w:sz w:val="16"/>
      <w:szCs w:val="16"/>
    </w:rPr>
  </w:style>
  <w:style w:type="character" w:customStyle="1" w:styleId="BalloonTextChar">
    <w:name w:val="Balloon Text Char"/>
    <w:basedOn w:val="DefaultParagraphFont"/>
    <w:link w:val="BalloonText"/>
    <w:rsid w:val="00D70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chart" Target="charts/chart1.xml"/><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footer" Target="footer1.xml"/><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319474835886213"/>
          <c:y val="7.2289156626506021E-2"/>
          <c:w val="0.50547045951859992"/>
          <c:h val="0.7018072289156625"/>
        </c:manualLayout>
      </c:layout>
      <c:lineChart>
        <c:grouping val="standard"/>
        <c:ser>
          <c:idx val="0"/>
          <c:order val="0"/>
          <c:tx>
            <c:v>Project A</c:v>
          </c:tx>
          <c:spPr>
            <a:ln w="12702">
              <a:solidFill>
                <a:srgbClr val="000080"/>
              </a:solidFill>
              <a:prstDash val="solid"/>
            </a:ln>
          </c:spPr>
          <c:marker>
            <c:symbol val="diamond"/>
            <c:size val="5"/>
            <c:spPr>
              <a:solidFill>
                <a:srgbClr val="000080"/>
              </a:solidFill>
              <a:ln>
                <a:solidFill>
                  <a:srgbClr val="000080"/>
                </a:solidFill>
                <a:prstDash val="solid"/>
              </a:ln>
            </c:spPr>
          </c:marker>
          <c:cat>
            <c:numRef>
              <c:f>Sheet1!$A$1:$A$3</c:f>
              <c:numCache>
                <c:formatCode>0%</c:formatCode>
                <c:ptCount val="3"/>
                <c:pt idx="0">
                  <c:v>0</c:v>
                </c:pt>
                <c:pt idx="1">
                  <c:v>0.1</c:v>
                </c:pt>
                <c:pt idx="2">
                  <c:v>0.2</c:v>
                </c:pt>
              </c:numCache>
            </c:numRef>
          </c:cat>
          <c:val>
            <c:numRef>
              <c:f>Sheet1!$B$1:$B$3</c:f>
              <c:numCache>
                <c:formatCode>#,##0.00</c:formatCode>
                <c:ptCount val="3"/>
                <c:pt idx="0">
                  <c:v>20</c:v>
                </c:pt>
                <c:pt idx="1">
                  <c:v>4.13</c:v>
                </c:pt>
                <c:pt idx="2">
                  <c:v>-8.33</c:v>
                </c:pt>
              </c:numCache>
            </c:numRef>
          </c:val>
        </c:ser>
        <c:ser>
          <c:idx val="1"/>
          <c:order val="1"/>
          <c:tx>
            <c:v>Project B</c:v>
          </c:tx>
          <c:spPr>
            <a:ln w="12702">
              <a:solidFill>
                <a:srgbClr val="FF00FF"/>
              </a:solidFill>
              <a:prstDash val="solid"/>
            </a:ln>
          </c:spPr>
          <c:marker>
            <c:symbol val="square"/>
            <c:size val="5"/>
            <c:spPr>
              <a:solidFill>
                <a:srgbClr val="FF00FF"/>
              </a:solidFill>
              <a:ln>
                <a:solidFill>
                  <a:srgbClr val="FF00FF"/>
                </a:solidFill>
                <a:prstDash val="solid"/>
              </a:ln>
            </c:spPr>
          </c:marker>
          <c:cat>
            <c:numRef>
              <c:f>Sheet1!$A$1:$A$3</c:f>
              <c:numCache>
                <c:formatCode>0%</c:formatCode>
                <c:ptCount val="3"/>
                <c:pt idx="0">
                  <c:v>0</c:v>
                </c:pt>
                <c:pt idx="1">
                  <c:v>0.1</c:v>
                </c:pt>
                <c:pt idx="2">
                  <c:v>0.2</c:v>
                </c:pt>
              </c:numCache>
            </c:numRef>
          </c:cat>
          <c:val>
            <c:numRef>
              <c:f>Sheet1!$C$1:$C$3</c:f>
              <c:numCache>
                <c:formatCode>#,##0.00</c:formatCode>
                <c:ptCount val="3"/>
                <c:pt idx="0">
                  <c:v>40</c:v>
                </c:pt>
                <c:pt idx="1">
                  <c:v>5.18</c:v>
                </c:pt>
                <c:pt idx="2">
                  <c:v>-18.979999999999993</c:v>
                </c:pt>
              </c:numCache>
            </c:numRef>
          </c:val>
        </c:ser>
        <c:ser>
          <c:idx val="2"/>
          <c:order val="2"/>
          <c:tx>
            <c:v>Increment</c:v>
          </c:tx>
          <c:spPr>
            <a:ln w="12702">
              <a:solidFill>
                <a:srgbClr val="FFFF00"/>
              </a:solidFill>
              <a:prstDash val="solid"/>
            </a:ln>
          </c:spPr>
          <c:marker>
            <c:symbol val="triangle"/>
            <c:size val="5"/>
            <c:spPr>
              <a:solidFill>
                <a:srgbClr val="FFFF00"/>
              </a:solidFill>
              <a:ln>
                <a:solidFill>
                  <a:srgbClr val="FFFF00"/>
                </a:solidFill>
                <a:prstDash val="solid"/>
              </a:ln>
            </c:spPr>
          </c:marker>
          <c:cat>
            <c:numRef>
              <c:f>Sheet1!$A$1:$A$3</c:f>
              <c:numCache>
                <c:formatCode>0%</c:formatCode>
                <c:ptCount val="3"/>
                <c:pt idx="0">
                  <c:v>0</c:v>
                </c:pt>
                <c:pt idx="1">
                  <c:v>0.1</c:v>
                </c:pt>
                <c:pt idx="2">
                  <c:v>0.2</c:v>
                </c:pt>
              </c:numCache>
            </c:numRef>
          </c:cat>
          <c:val>
            <c:numRef>
              <c:f>Sheet1!$D$1:$D$3</c:f>
              <c:numCache>
                <c:formatCode>#,##0.00</c:formatCode>
                <c:ptCount val="3"/>
                <c:pt idx="0">
                  <c:v>20</c:v>
                </c:pt>
                <c:pt idx="1">
                  <c:v>1.05</c:v>
                </c:pt>
                <c:pt idx="2">
                  <c:v>-10.65</c:v>
                </c:pt>
              </c:numCache>
            </c:numRef>
          </c:val>
        </c:ser>
        <c:marker val="1"/>
        <c:axId val="115105152"/>
        <c:axId val="115140480"/>
      </c:lineChart>
      <c:catAx>
        <c:axId val="115105152"/>
        <c:scaling>
          <c:orientation val="minMax"/>
        </c:scaling>
        <c:axPos val="b"/>
        <c:title>
          <c:tx>
            <c:rich>
              <a:bodyPr/>
              <a:lstStyle/>
              <a:p>
                <a:pPr>
                  <a:defRPr sz="1200" b="1" i="0" u="none" strike="noStrike" baseline="0">
                    <a:solidFill>
                      <a:srgbClr val="000000"/>
                    </a:solidFill>
                    <a:latin typeface="Arial"/>
                    <a:ea typeface="Arial"/>
                    <a:cs typeface="Arial"/>
                  </a:defRPr>
                </a:pPr>
                <a:r>
                  <a:rPr lang="en-US"/>
                  <a:t>Rate of Interest</a:t>
                </a:r>
              </a:p>
            </c:rich>
          </c:tx>
          <c:layout>
            <c:manualLayout>
              <c:xMode val="edge"/>
              <c:yMode val="edge"/>
              <c:x val="0.34135667396061298"/>
              <c:y val="0.8795180722891569"/>
            </c:manualLayout>
          </c:layout>
          <c:spPr>
            <a:noFill/>
            <a:ln w="25404">
              <a:noFill/>
            </a:ln>
          </c:spPr>
        </c:title>
        <c:numFmt formatCode="0%" sourceLinked="1"/>
        <c:minorTickMark val="out"/>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15140480"/>
        <c:crosses val="autoZero"/>
        <c:auto val="1"/>
        <c:lblAlgn val="ctr"/>
        <c:lblOffset val="100"/>
        <c:tickLblSkip val="1"/>
        <c:tickMarkSkip val="1"/>
      </c:catAx>
      <c:valAx>
        <c:axId val="115140480"/>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NPV</a:t>
                </a:r>
              </a:p>
            </c:rich>
          </c:tx>
          <c:layout>
            <c:manualLayout>
              <c:xMode val="edge"/>
              <c:yMode val="edge"/>
              <c:x val="2.4070021881838068E-2"/>
              <c:y val="0.35843373493975916"/>
            </c:manualLayout>
          </c:layout>
          <c:spPr>
            <a:noFill/>
            <a:ln w="25404">
              <a:noFill/>
            </a:ln>
          </c:spPr>
        </c:title>
        <c:numFmt formatCode="#,##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15105152"/>
        <c:crosses val="autoZero"/>
        <c:crossBetween val="between"/>
      </c:valAx>
      <c:spPr>
        <a:solidFill>
          <a:srgbClr val="C0C0C0"/>
        </a:solidFill>
        <a:ln w="12702">
          <a:solidFill>
            <a:srgbClr val="808080"/>
          </a:solidFill>
          <a:prstDash val="solid"/>
        </a:ln>
      </c:spPr>
    </c:plotArea>
    <c:legend>
      <c:legendPos val="r"/>
      <c:layout>
        <c:manualLayout>
          <c:xMode val="edge"/>
          <c:yMode val="edge"/>
          <c:x val="0.75054704595185973"/>
          <c:y val="0.31024096385542194"/>
          <c:w val="0.2407002188183808"/>
          <c:h val="0.21987951807228914"/>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1324</Words>
  <Characters>7547</Characters>
  <Application>Microsoft Office Word</Application>
  <DocSecurity>0</DocSecurity>
  <Lines>62</Lines>
  <Paragraphs>17</Paragraphs>
  <ScaleCrop>false</ScaleCrop>
  <Company>Baylor University</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BU</cp:lastModifiedBy>
  <cp:revision>1</cp:revision>
  <dcterms:created xsi:type="dcterms:W3CDTF">2011-01-08T17:04:00Z</dcterms:created>
  <dcterms:modified xsi:type="dcterms:W3CDTF">2011-01-08T17:05:00Z</dcterms:modified>
</cp:coreProperties>
</file>