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C3" w:rsidRDefault="002443C3" w:rsidP="002443C3">
      <w:pPr>
        <w:pStyle w:val="Heading2"/>
        <w:jc w:val="center"/>
        <w:rPr>
          <w:b/>
          <w:i w:val="0"/>
        </w:rPr>
      </w:pPr>
      <w:r>
        <w:rPr>
          <w:b/>
          <w:i w:val="0"/>
        </w:rPr>
        <w:t>CHAPTER 4</w:t>
      </w:r>
    </w:p>
    <w:p w:rsidR="002443C3" w:rsidRDefault="002443C3" w:rsidP="002443C3">
      <w:pPr>
        <w:pStyle w:val="Heading3"/>
      </w:pPr>
      <w:r>
        <w:t>The Value of Common Stocks</w:t>
      </w:r>
    </w:p>
    <w:p w:rsidR="002443C3" w:rsidRDefault="002443C3" w:rsidP="002443C3">
      <w:pPr>
        <w:pStyle w:val="Heading2"/>
        <w:spacing w:line="220" w:lineRule="exact"/>
        <w:rPr>
          <w:b/>
        </w:rPr>
      </w:pPr>
    </w:p>
    <w:p w:rsidR="002443C3" w:rsidRPr="00336CDE" w:rsidRDefault="002443C3" w:rsidP="002443C3"/>
    <w:p w:rsidR="002443C3" w:rsidRDefault="002443C3" w:rsidP="002443C3">
      <w:pPr>
        <w:pStyle w:val="Heading2"/>
        <w:rPr>
          <w:b/>
        </w:rPr>
      </w:pPr>
      <w:r>
        <w:rPr>
          <w:b/>
        </w:rPr>
        <w:t>Answers to Problem Sets</w:t>
      </w:r>
    </w:p>
    <w:p w:rsidR="002443C3" w:rsidRDefault="002443C3" w:rsidP="002443C3">
      <w:pPr>
        <w:spacing w:line="220" w:lineRule="exact"/>
      </w:pPr>
    </w:p>
    <w:p w:rsidR="002443C3" w:rsidRDefault="002443C3" w:rsidP="002443C3">
      <w:pPr>
        <w:pStyle w:val="eaplnm"/>
        <w:tabs>
          <w:tab w:val="clear" w:pos="360"/>
          <w:tab w:val="clear" w:pos="600"/>
          <w:tab w:val="center" w:pos="90"/>
          <w:tab w:val="left" w:pos="180"/>
          <w:tab w:val="left" w:pos="720"/>
          <w:tab w:val="left" w:pos="1440"/>
        </w:tabs>
        <w:spacing w:before="0"/>
        <w:ind w:left="180" w:hanging="180"/>
        <w:rPr>
          <w:rFonts w:ascii="Arial" w:hAnsi="Arial" w:cs="Arial"/>
          <w:color w:val="auto"/>
          <w:sz w:val="24"/>
          <w:szCs w:val="24"/>
        </w:rPr>
      </w:pPr>
      <w:r w:rsidRPr="00336CDE">
        <w:rPr>
          <w:rStyle w:val="bold"/>
          <w:rFonts w:ascii="Arial" w:hAnsi="Arial" w:cs="Arial"/>
          <w:b w:val="0"/>
          <w:bCs w:val="0"/>
          <w:color w:val="auto"/>
          <w:sz w:val="24"/>
          <w:szCs w:val="24"/>
        </w:rPr>
        <w:t xml:space="preserve">   1.</w:t>
      </w:r>
      <w:r w:rsidRPr="00336CDE">
        <w:rPr>
          <w:rFonts w:ascii="Arial" w:hAnsi="Arial" w:cs="Arial"/>
          <w:color w:val="auto"/>
          <w:sz w:val="24"/>
          <w:szCs w:val="24"/>
        </w:rPr>
        <w:tab/>
      </w:r>
      <w:r w:rsidRPr="00336CDE">
        <w:rPr>
          <w:rStyle w:val="bold"/>
          <w:rFonts w:ascii="Arial" w:hAnsi="Arial" w:cs="Arial"/>
          <w:b w:val="0"/>
          <w:bCs w:val="0"/>
          <w:color w:val="auto"/>
          <w:sz w:val="24"/>
          <w:szCs w:val="24"/>
        </w:rPr>
        <w:t>a</w:t>
      </w:r>
      <w:r>
        <w:rPr>
          <w:rFonts w:ascii="Arial" w:hAnsi="Arial" w:cs="Arial"/>
          <w:color w:val="auto"/>
          <w:sz w:val="24"/>
          <w:szCs w:val="24"/>
        </w:rPr>
        <w:t>.</w:t>
      </w:r>
      <w:r w:rsidRPr="00336CDE">
        <w:rPr>
          <w:rFonts w:ascii="Arial" w:hAnsi="Arial" w:cs="Arial"/>
          <w:color w:val="auto"/>
          <w:sz w:val="24"/>
          <w:szCs w:val="24"/>
        </w:rPr>
        <w:t xml:space="preserve"> </w:t>
      </w:r>
      <w:r>
        <w:rPr>
          <w:rFonts w:ascii="Arial" w:hAnsi="Arial" w:cs="Arial"/>
          <w:color w:val="auto"/>
          <w:sz w:val="24"/>
          <w:szCs w:val="24"/>
        </w:rPr>
        <w:tab/>
      </w:r>
      <w:r w:rsidRPr="00336CDE">
        <w:rPr>
          <w:rFonts w:ascii="Arial" w:hAnsi="Arial" w:cs="Arial"/>
          <w:color w:val="auto"/>
          <w:sz w:val="24"/>
          <w:szCs w:val="24"/>
        </w:rPr>
        <w:t>True</w:t>
      </w:r>
    </w:p>
    <w:p w:rsidR="002443C3" w:rsidRDefault="002443C3" w:rsidP="002443C3">
      <w:pPr>
        <w:pStyle w:val="eaplnm"/>
        <w:tabs>
          <w:tab w:val="clear" w:pos="360"/>
          <w:tab w:val="clear" w:pos="600"/>
          <w:tab w:val="center" w:pos="90"/>
          <w:tab w:val="left" w:pos="180"/>
          <w:tab w:val="left" w:pos="720"/>
        </w:tabs>
        <w:spacing w:before="0"/>
        <w:ind w:left="180" w:hanging="180"/>
        <w:rPr>
          <w:rFonts w:ascii="Arial" w:hAnsi="Arial" w:cs="Arial"/>
          <w:color w:val="auto"/>
          <w:sz w:val="24"/>
          <w:szCs w:val="24"/>
        </w:rPr>
      </w:pPr>
    </w:p>
    <w:p w:rsidR="002443C3" w:rsidRPr="00336CDE" w:rsidRDefault="002443C3" w:rsidP="002443C3">
      <w:pPr>
        <w:pStyle w:val="eaplnm"/>
        <w:tabs>
          <w:tab w:val="clear" w:pos="360"/>
          <w:tab w:val="clear" w:pos="600"/>
          <w:tab w:val="center" w:pos="90"/>
          <w:tab w:val="left" w:pos="180"/>
          <w:tab w:val="left" w:pos="720"/>
        </w:tabs>
        <w:spacing w:before="0"/>
        <w:ind w:left="180" w:hanging="18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Style w:val="bold"/>
          <w:rFonts w:ascii="Arial" w:hAnsi="Arial" w:cs="Arial"/>
          <w:b w:val="0"/>
          <w:bCs w:val="0"/>
          <w:color w:val="auto"/>
          <w:sz w:val="24"/>
          <w:szCs w:val="24"/>
        </w:rPr>
        <w:t>b</w:t>
      </w:r>
      <w:r>
        <w:rPr>
          <w:rFonts w:ascii="Arial" w:hAnsi="Arial" w:cs="Arial"/>
          <w:color w:val="auto"/>
          <w:sz w:val="24"/>
          <w:szCs w:val="24"/>
        </w:rPr>
        <w:t xml:space="preserve">. </w:t>
      </w:r>
      <w:r>
        <w:rPr>
          <w:rFonts w:ascii="Arial" w:hAnsi="Arial" w:cs="Arial"/>
          <w:color w:val="auto"/>
          <w:sz w:val="24"/>
          <w:szCs w:val="24"/>
        </w:rPr>
        <w:tab/>
        <w:t>True</w:t>
      </w: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lear" w:pos="600"/>
          <w:tab w:val="center" w:pos="90"/>
          <w:tab w:val="left" w:pos="180"/>
          <w:tab w:val="left" w:pos="720"/>
        </w:tabs>
        <w:spacing w:before="0"/>
        <w:ind w:left="720" w:hanging="72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2.</w:t>
      </w:r>
      <w:r w:rsidRPr="00336CDE">
        <w:rPr>
          <w:rFonts w:ascii="Arial" w:hAnsi="Arial" w:cs="Arial"/>
          <w:color w:val="auto"/>
          <w:sz w:val="24"/>
          <w:szCs w:val="24"/>
        </w:rPr>
        <w:tab/>
        <w:t>Investors who buy stocks may get their return from capital gains as well as dividends. But the future stock price always depends on subsequent dividends. There is no inconsistency.</w:t>
      </w: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3.</w:t>
      </w:r>
      <w:r w:rsidRPr="00336CDE">
        <w:rPr>
          <w:rFonts w:ascii="Arial" w:hAnsi="Arial" w:cs="Arial"/>
          <w:color w:val="auto"/>
          <w:sz w:val="24"/>
          <w:szCs w:val="24"/>
        </w:rPr>
        <w:tab/>
      </w:r>
      <w:r>
        <w:rPr>
          <w:rFonts w:ascii="Arial" w:hAnsi="Arial" w:cs="Arial"/>
          <w:color w:val="auto"/>
          <w:sz w:val="24"/>
          <w:szCs w:val="24"/>
        </w:rPr>
        <w:tab/>
      </w:r>
      <w:r w:rsidRPr="00336CDE">
        <w:rPr>
          <w:rStyle w:val="italic"/>
          <w:rFonts w:cs="Arial"/>
          <w:i w:val="0"/>
          <w:iCs w:val="0"/>
          <w:color w:val="auto"/>
          <w:szCs w:val="24"/>
        </w:rPr>
        <w:t>P</w:t>
      </w:r>
      <w:r w:rsidRPr="00336CDE">
        <w:rPr>
          <w:rStyle w:val="sub"/>
          <w:rFonts w:ascii="Arial" w:hAnsi="Arial" w:cs="Arial"/>
          <w:color w:val="auto"/>
          <w:sz w:val="24"/>
          <w:szCs w:val="24"/>
        </w:rPr>
        <w:t>0</w:t>
      </w:r>
      <w:r w:rsidRPr="00336CDE">
        <w:rPr>
          <w:rFonts w:ascii="Arial" w:hAnsi="Arial" w:cs="Arial"/>
          <w:color w:val="auto"/>
          <w:sz w:val="24"/>
          <w:szCs w:val="24"/>
        </w:rPr>
        <w:t xml:space="preserve"> = (5 + 110)/1.08 = $106.48</w:t>
      </w:r>
    </w:p>
    <w:p w:rsidR="002443C3"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4.</w:t>
      </w:r>
      <w:r w:rsidRPr="00336CDE">
        <w:rPr>
          <w:rFonts w:ascii="Arial" w:hAnsi="Arial" w:cs="Arial"/>
          <w:color w:val="auto"/>
          <w:sz w:val="24"/>
          <w:szCs w:val="24"/>
        </w:rPr>
        <w:tab/>
      </w:r>
      <w:r>
        <w:rPr>
          <w:rFonts w:ascii="Arial" w:hAnsi="Arial" w:cs="Arial"/>
          <w:color w:val="auto"/>
          <w:sz w:val="24"/>
          <w:szCs w:val="24"/>
        </w:rPr>
        <w:tab/>
      </w:r>
      <w:r w:rsidRPr="00336CDE">
        <w:rPr>
          <w:rStyle w:val="italic"/>
          <w:rFonts w:cs="Arial"/>
          <w:i w:val="0"/>
          <w:iCs w:val="0"/>
          <w:color w:val="auto"/>
          <w:szCs w:val="24"/>
        </w:rPr>
        <w:t>r</w:t>
      </w:r>
      <w:r w:rsidRPr="00336CDE">
        <w:rPr>
          <w:rFonts w:ascii="Arial" w:hAnsi="Arial" w:cs="Arial"/>
          <w:color w:val="auto"/>
          <w:sz w:val="24"/>
          <w:szCs w:val="24"/>
        </w:rPr>
        <w:t xml:space="preserve"> = 5/40 = .125.</w:t>
      </w: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5.</w:t>
      </w:r>
      <w:r w:rsidRPr="00336CDE">
        <w:rPr>
          <w:rFonts w:ascii="Arial" w:hAnsi="Arial" w:cs="Arial"/>
          <w:color w:val="auto"/>
          <w:sz w:val="24"/>
          <w:szCs w:val="24"/>
        </w:rPr>
        <w:tab/>
      </w:r>
      <w:r>
        <w:rPr>
          <w:rFonts w:ascii="Arial" w:hAnsi="Arial" w:cs="Arial"/>
          <w:color w:val="auto"/>
          <w:sz w:val="24"/>
          <w:szCs w:val="24"/>
        </w:rPr>
        <w:tab/>
      </w:r>
      <w:r w:rsidRPr="00336CDE">
        <w:rPr>
          <w:rStyle w:val="italic"/>
          <w:rFonts w:cs="Arial"/>
          <w:i w:val="0"/>
          <w:iCs w:val="0"/>
          <w:color w:val="auto"/>
          <w:szCs w:val="24"/>
        </w:rPr>
        <w:t>P</w:t>
      </w:r>
      <w:r w:rsidRPr="00336CDE">
        <w:rPr>
          <w:rStyle w:val="sub"/>
          <w:rFonts w:ascii="Arial" w:hAnsi="Arial" w:cs="Arial"/>
          <w:color w:val="auto"/>
          <w:sz w:val="24"/>
          <w:szCs w:val="24"/>
        </w:rPr>
        <w:t>0</w:t>
      </w:r>
      <w:r w:rsidRPr="00336CDE">
        <w:rPr>
          <w:rFonts w:ascii="Arial" w:hAnsi="Arial" w:cs="Arial"/>
          <w:color w:val="auto"/>
          <w:sz w:val="24"/>
          <w:szCs w:val="24"/>
        </w:rPr>
        <w:t xml:space="preserve"> = 10/(.08 - .05) = $333.33.</w:t>
      </w: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Default="002443C3" w:rsidP="002443C3">
      <w:pPr>
        <w:pStyle w:val="eaplnm"/>
        <w:tabs>
          <w:tab w:val="clear" w:pos="360"/>
          <w:tab w:val="center" w:pos="90"/>
          <w:tab w:val="left" w:pos="180"/>
        </w:tabs>
        <w:spacing w:before="0"/>
        <w:ind w:left="90" w:hanging="9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6.</w:t>
      </w:r>
      <w:r w:rsidRPr="00336CDE">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 xml:space="preserve">By year 5, earnings will grow to $18.23 per share. Forecasted price per share at </w:t>
      </w:r>
    </w:p>
    <w:p w:rsidR="002443C3" w:rsidRPr="00336CDE" w:rsidRDefault="002443C3" w:rsidP="002443C3">
      <w:pPr>
        <w:pStyle w:val="eaplnm"/>
        <w:tabs>
          <w:tab w:val="clear" w:pos="360"/>
          <w:tab w:val="center" w:pos="90"/>
          <w:tab w:val="left" w:pos="180"/>
        </w:tabs>
        <w:spacing w:before="0"/>
        <w:ind w:left="90" w:hanging="9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year 4 is 18.23/.08 = $227.91.</w:t>
      </w:r>
    </w:p>
    <w:p w:rsidR="002443C3" w:rsidRPr="00336CDE" w:rsidRDefault="002443C3" w:rsidP="002443C3">
      <w:pPr>
        <w:pStyle w:val="eaplnm"/>
        <w:tabs>
          <w:tab w:val="clear" w:pos="360"/>
          <w:tab w:val="center" w:pos="90"/>
          <w:tab w:val="left" w:pos="180"/>
        </w:tabs>
        <w:spacing w:before="0"/>
        <w:ind w:left="0" w:firstLine="540"/>
        <w:rPr>
          <w:rFonts w:ascii="Arial" w:hAnsi="Arial" w:cs="Arial"/>
          <w:i/>
          <w:iCs/>
          <w:color w:val="auto"/>
          <w:sz w:val="24"/>
          <w:szCs w:val="24"/>
        </w:rPr>
      </w:pPr>
      <w:r>
        <w:rPr>
          <w:rFonts w:ascii="Arial" w:hAnsi="Arial" w:cs="Arial"/>
          <w:i/>
          <w:iCs/>
          <w:color w:val="auto"/>
          <w:sz w:val="24"/>
          <w:szCs w:val="24"/>
        </w:rPr>
        <w:tab/>
      </w:r>
    </w:p>
    <w:p w:rsidR="002443C3" w:rsidRPr="00336CDE" w:rsidRDefault="002443C3" w:rsidP="002443C3">
      <w:pPr>
        <w:pStyle w:val="eaplnm"/>
        <w:tabs>
          <w:tab w:val="clear" w:pos="360"/>
          <w:tab w:val="center" w:pos="90"/>
          <w:tab w:val="left" w:pos="180"/>
        </w:tabs>
        <w:spacing w:before="0"/>
        <w:ind w:left="0" w:firstLine="540"/>
        <w:rPr>
          <w:rFonts w:ascii="Arial" w:hAnsi="Arial" w:cs="Arial"/>
          <w:i/>
          <w:iCs/>
          <w:color w:val="auto"/>
          <w:sz w:val="24"/>
          <w:szCs w:val="24"/>
        </w:rPr>
      </w:pPr>
      <w:r>
        <w:rPr>
          <w:rFonts w:ascii="Arial" w:hAnsi="Arial" w:cs="Arial"/>
          <w:i/>
          <w:iCs/>
          <w:color w:val="auto"/>
          <w:sz w:val="24"/>
          <w:szCs w:val="24"/>
        </w:rPr>
        <w:tab/>
      </w:r>
      <w:r>
        <w:rPr>
          <w:rFonts w:ascii="Arial" w:hAnsi="Arial" w:cs="Arial"/>
          <w:i/>
          <w:iCs/>
          <w:color w:val="auto"/>
          <w:sz w:val="24"/>
          <w:szCs w:val="24"/>
        </w:rPr>
        <w:tab/>
      </w:r>
      <w:r w:rsidR="00B807FB">
        <w:rPr>
          <w:rFonts w:ascii="Arial" w:hAnsi="Arial" w:cs="Arial"/>
          <w:i/>
          <w:noProof/>
          <w:color w:val="auto"/>
          <w:sz w:val="24"/>
          <w:szCs w:val="24"/>
        </w:rPr>
        <w:drawing>
          <wp:inline distT="0" distB="0" distL="0" distR="0">
            <wp:extent cx="280035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00350" cy="819150"/>
                    </a:xfrm>
                    <a:prstGeom prst="rect">
                      <a:avLst/>
                    </a:prstGeom>
                    <a:noFill/>
                    <a:ln w="9525">
                      <a:noFill/>
                      <a:miter lim="800000"/>
                      <a:headEnd/>
                      <a:tailEnd/>
                    </a:ln>
                  </pic:spPr>
                </pic:pic>
              </a:graphicData>
            </a:graphic>
          </wp:inline>
        </w:drawing>
      </w:r>
    </w:p>
    <w:p w:rsidR="002443C3" w:rsidRDefault="002443C3" w:rsidP="002443C3">
      <w:pPr>
        <w:pStyle w:val="eaplnm"/>
        <w:tabs>
          <w:tab w:val="clear" w:pos="360"/>
          <w:tab w:val="center" w:pos="90"/>
          <w:tab w:val="left" w:pos="180"/>
        </w:tabs>
        <w:spacing w:before="0"/>
        <w:ind w:left="0" w:firstLine="540"/>
        <w:rPr>
          <w:rFonts w:ascii="Arial" w:hAnsi="Arial" w:cs="Arial"/>
          <w:i/>
          <w:iCs/>
          <w:color w:val="auto"/>
          <w:sz w:val="24"/>
          <w:szCs w:val="24"/>
        </w:rPr>
      </w:pPr>
    </w:p>
    <w:p w:rsidR="002443C3" w:rsidRPr="00336CDE" w:rsidRDefault="002443C3" w:rsidP="002443C3">
      <w:pPr>
        <w:pStyle w:val="eaplnm"/>
        <w:tabs>
          <w:tab w:val="clear" w:pos="360"/>
          <w:tab w:val="center" w:pos="90"/>
          <w:tab w:val="left" w:pos="180"/>
        </w:tabs>
        <w:spacing w:before="0"/>
        <w:ind w:left="0" w:firstLine="540"/>
        <w:rPr>
          <w:rFonts w:ascii="Arial" w:hAnsi="Arial" w:cs="Arial"/>
          <w:i/>
          <w:iCs/>
          <w:color w:val="auto"/>
          <w:sz w:val="24"/>
          <w:szCs w:val="24"/>
        </w:rPr>
      </w:pPr>
    </w:p>
    <w:p w:rsidR="002443C3" w:rsidRPr="00336CDE"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7.</w:t>
      </w:r>
      <w:r w:rsidRPr="00336CDE">
        <w:rPr>
          <w:rFonts w:ascii="Arial" w:hAnsi="Arial" w:cs="Arial"/>
          <w:color w:val="auto"/>
          <w:sz w:val="24"/>
          <w:szCs w:val="24"/>
        </w:rPr>
        <w:tab/>
      </w:r>
      <w:r>
        <w:rPr>
          <w:rFonts w:ascii="Arial" w:hAnsi="Arial" w:cs="Arial"/>
          <w:color w:val="auto"/>
          <w:sz w:val="24"/>
          <w:szCs w:val="24"/>
        </w:rPr>
        <w:tab/>
        <w:t>15/.08 +</w:t>
      </w:r>
      <w:r w:rsidRPr="00336CDE">
        <w:rPr>
          <w:rFonts w:ascii="Arial" w:hAnsi="Arial" w:cs="Arial"/>
          <w:color w:val="auto"/>
          <w:sz w:val="24"/>
          <w:szCs w:val="24"/>
        </w:rPr>
        <w:t xml:space="preserve"> PVGO = 333.33; therefore PVGO = $145.83.</w:t>
      </w: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r w:rsidRPr="00336CDE">
        <w:rPr>
          <w:rFonts w:cs="Arial"/>
          <w:color w:val="auto"/>
          <w:sz w:val="24"/>
          <w:szCs w:val="24"/>
        </w:rPr>
        <w:t> </w:t>
      </w:r>
      <w:r w:rsidRPr="00336CDE">
        <w:rPr>
          <w:rStyle w:val="bold"/>
          <w:rFonts w:ascii="Arial" w:hAnsi="Arial" w:cs="Arial"/>
          <w:b w:val="0"/>
          <w:bCs w:val="0"/>
          <w:color w:val="auto"/>
          <w:sz w:val="24"/>
          <w:szCs w:val="24"/>
        </w:rPr>
        <w:t>8.</w:t>
      </w:r>
      <w:r w:rsidRPr="00336CDE">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Z’s forecasted dividends and prices grow as follows:</w:t>
      </w:r>
    </w:p>
    <w:p w:rsidR="002443C3" w:rsidRPr="00336CDE" w:rsidRDefault="002443C3" w:rsidP="002443C3">
      <w:pPr>
        <w:pStyle w:val="eaplnm"/>
        <w:tabs>
          <w:tab w:val="clear" w:pos="360"/>
          <w:tab w:val="center" w:pos="90"/>
          <w:tab w:val="left" w:pos="180"/>
        </w:tabs>
        <w:spacing w:before="0"/>
        <w:ind w:left="54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540" w:firstLine="0"/>
        <w:rPr>
          <w:rFonts w:ascii="Arial" w:hAnsi="Arial" w:cs="Arial"/>
          <w:color w:val="auto"/>
          <w:sz w:val="24"/>
          <w:szCs w:val="24"/>
        </w:rPr>
      </w:pPr>
      <w:r>
        <w:rPr>
          <w:rFonts w:ascii="Arial" w:hAnsi="Arial" w:cs="Arial"/>
          <w:color w:val="auto"/>
          <w:sz w:val="24"/>
          <w:szCs w:val="24"/>
        </w:rPr>
        <w:tab/>
      </w:r>
      <w:r w:rsidRPr="00336CDE">
        <w:rPr>
          <w:rFonts w:ascii="Arial" w:hAnsi="Arial" w:cs="Arial"/>
          <w:color w:val="auto"/>
          <w:sz w:val="24"/>
          <w:szCs w:val="24"/>
        </w:rPr>
        <w:tab/>
      </w:r>
      <w:r w:rsidR="00B807FB">
        <w:rPr>
          <w:rFonts w:ascii="Arial" w:hAnsi="Arial" w:cs="Arial"/>
          <w:noProof/>
          <w:color w:val="auto"/>
          <w:sz w:val="24"/>
          <w:szCs w:val="24"/>
        </w:rPr>
        <w:drawing>
          <wp:inline distT="0" distB="0" distL="0" distR="0">
            <wp:extent cx="329565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95650" cy="800100"/>
                    </a:xfrm>
                    <a:prstGeom prst="rect">
                      <a:avLst/>
                    </a:prstGeom>
                    <a:noFill/>
                    <a:ln w="9525">
                      <a:noFill/>
                      <a:miter lim="800000"/>
                      <a:headEnd/>
                      <a:tailEnd/>
                    </a:ln>
                  </pic:spPr>
                </pic:pic>
              </a:graphicData>
            </a:graphic>
          </wp:inline>
        </w:drawing>
      </w:r>
    </w:p>
    <w:p w:rsidR="002443C3" w:rsidRPr="00336CDE" w:rsidRDefault="002443C3" w:rsidP="002443C3">
      <w:pPr>
        <w:pStyle w:val="eaplnm"/>
        <w:tabs>
          <w:tab w:val="clear" w:pos="360"/>
          <w:tab w:val="center" w:pos="90"/>
          <w:tab w:val="left" w:pos="180"/>
        </w:tabs>
        <w:spacing w:before="0"/>
        <w:ind w:left="54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54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Calculate the expected rates of return:</w:t>
      </w:r>
    </w:p>
    <w:p w:rsidR="002443C3" w:rsidRPr="00336CDE" w:rsidRDefault="002443C3" w:rsidP="002443C3">
      <w:pPr>
        <w:pStyle w:val="eaplnm"/>
        <w:tabs>
          <w:tab w:val="clear" w:pos="360"/>
          <w:tab w:val="center" w:pos="90"/>
          <w:tab w:val="left" w:pos="180"/>
        </w:tabs>
        <w:spacing w:before="0"/>
        <w:ind w:left="540" w:firstLine="0"/>
        <w:rPr>
          <w:rFonts w:ascii="Arial" w:hAnsi="Arial" w:cs="Arial"/>
          <w:color w:val="auto"/>
          <w:sz w:val="24"/>
          <w:szCs w:val="24"/>
        </w:rPr>
      </w:pPr>
      <w:r>
        <w:rPr>
          <w:rFonts w:ascii="Arial" w:hAnsi="Arial" w:cs="Arial"/>
          <w:color w:val="auto"/>
          <w:sz w:val="24"/>
          <w:szCs w:val="24"/>
        </w:rPr>
        <w:br w:type="page"/>
      </w:r>
    </w:p>
    <w:p w:rsidR="002443C3" w:rsidRDefault="002443C3" w:rsidP="002443C3">
      <w:pPr>
        <w:pStyle w:val="eapeqf"/>
        <w:tabs>
          <w:tab w:val="center" w:pos="90"/>
          <w:tab w:val="left" w:pos="180"/>
        </w:tabs>
        <w:spacing w:before="0"/>
        <w:ind w:firstLine="540"/>
        <w:jc w:val="left"/>
        <w:rPr>
          <w:rFonts w:ascii="Arial" w:hAnsi="Arial" w:cs="Arial"/>
          <w:color w:val="auto"/>
          <w:position w:val="13"/>
          <w:sz w:val="24"/>
          <w:szCs w:val="24"/>
        </w:rPr>
      </w:pPr>
      <w:r>
        <w:rPr>
          <w:rFonts w:ascii="Arial" w:hAnsi="Arial" w:cs="Arial"/>
          <w:sz w:val="24"/>
          <w:szCs w:val="24"/>
        </w:rPr>
        <w:tab/>
      </w:r>
      <w:r w:rsidRPr="00336CDE">
        <w:rPr>
          <w:rFonts w:ascii="Arial" w:hAnsi="Arial" w:cs="Arial"/>
          <w:sz w:val="24"/>
          <w:szCs w:val="24"/>
        </w:rPr>
        <w:t xml:space="preserve">From year 0 to 1: </w:t>
      </w:r>
      <w:r w:rsidRPr="00336CDE">
        <w:rPr>
          <w:rFonts w:cs="Arial"/>
          <w:sz w:val="24"/>
          <w:szCs w:val="24"/>
        </w:rPr>
        <w:t>​</w:t>
      </w:r>
      <w:r w:rsidRPr="00336CDE">
        <w:rPr>
          <w:rFonts w:ascii="Arial" w:hAnsi="Arial" w:cs="Arial"/>
          <w:sz w:val="24"/>
          <w:szCs w:val="24"/>
        </w:rPr>
        <w:t xml:space="preserve"> </w:t>
      </w:r>
      <w:r w:rsidRPr="00425334">
        <w:rPr>
          <w:rFonts w:ascii="Arial" w:hAnsi="Arial" w:cs="Arial"/>
          <w:sz w:val="24"/>
          <w:szCs w:val="24"/>
        </w:rPr>
        <w:object w:dxaOrig="2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0.75pt" o:ole="">
            <v:imagedata r:id="rId9" o:title=""/>
          </v:shape>
          <o:OLEObject Type="Embed" ProgID="Equation.3" ShapeID="_x0000_i1025" DrawAspect="Content" ObjectID="_1355990203" r:id="rId10"/>
        </w:object>
      </w:r>
      <w:r w:rsidRPr="00336CDE">
        <w:rPr>
          <w:rFonts w:ascii="Arial" w:hAnsi="Arial" w:cs="Arial"/>
          <w:sz w:val="24"/>
          <w:szCs w:val="24"/>
        </w:rPr>
        <w:t xml:space="preserve">         </w:t>
      </w:r>
      <w:r w:rsidRPr="00336CDE">
        <w:rPr>
          <w:rFonts w:ascii="Arial" w:hAnsi="Arial" w:cs="Arial"/>
          <w:spacing w:val="-27"/>
          <w:sz w:val="24"/>
          <w:szCs w:val="24"/>
        </w:rPr>
        <w:t xml:space="preserve">     </w:t>
      </w:r>
    </w:p>
    <w:p w:rsidR="002443C3" w:rsidRPr="0018282F" w:rsidRDefault="002443C3" w:rsidP="002443C3">
      <w:pPr>
        <w:pStyle w:val="eapeqf"/>
        <w:tabs>
          <w:tab w:val="center" w:pos="90"/>
          <w:tab w:val="left" w:pos="180"/>
        </w:tabs>
        <w:spacing w:before="0"/>
        <w:ind w:firstLine="540"/>
        <w:jc w:val="left"/>
        <w:rPr>
          <w:rFonts w:ascii="Arial" w:hAnsi="Arial" w:cs="Arial"/>
          <w:color w:val="auto"/>
          <w:position w:val="13"/>
          <w:sz w:val="24"/>
          <w:szCs w:val="24"/>
        </w:rPr>
      </w:pPr>
      <w:r>
        <w:rPr>
          <w:rFonts w:ascii="Arial" w:hAnsi="Arial" w:cs="Arial"/>
          <w:color w:val="auto"/>
          <w:position w:val="13"/>
          <w:sz w:val="24"/>
          <w:szCs w:val="24"/>
        </w:rPr>
        <w:tab/>
      </w:r>
      <w:r>
        <w:rPr>
          <w:rFonts w:ascii="Arial" w:hAnsi="Arial" w:cs="Arial"/>
          <w:color w:val="auto"/>
          <w:position w:val="13"/>
          <w:sz w:val="24"/>
          <w:szCs w:val="24"/>
        </w:rPr>
        <w:tab/>
      </w:r>
      <w:r>
        <w:rPr>
          <w:rFonts w:ascii="Arial" w:hAnsi="Arial" w:cs="Arial"/>
          <w:color w:val="auto"/>
          <w:position w:val="13"/>
          <w:sz w:val="24"/>
          <w:szCs w:val="24"/>
        </w:rPr>
        <w:tab/>
      </w:r>
      <w:r>
        <w:rPr>
          <w:rFonts w:ascii="Arial" w:hAnsi="Arial" w:cs="Arial"/>
          <w:color w:val="auto"/>
          <w:position w:val="13"/>
          <w:sz w:val="24"/>
          <w:szCs w:val="24"/>
        </w:rPr>
        <w:tab/>
      </w:r>
    </w:p>
    <w:p w:rsidR="002443C3" w:rsidRPr="00336CDE" w:rsidRDefault="002443C3" w:rsidP="002443C3">
      <w:pPr>
        <w:pStyle w:val="eapeqf"/>
        <w:tabs>
          <w:tab w:val="center" w:pos="90"/>
          <w:tab w:val="left" w:pos="180"/>
        </w:tabs>
        <w:spacing w:before="0"/>
        <w:ind w:firstLine="540"/>
        <w:jc w:val="left"/>
        <w:rPr>
          <w:rFonts w:ascii="Arial" w:hAnsi="Arial" w:cs="Arial"/>
          <w:sz w:val="24"/>
          <w:szCs w:val="24"/>
        </w:rPr>
      </w:pPr>
    </w:p>
    <w:p w:rsidR="002443C3" w:rsidRDefault="002443C3" w:rsidP="002443C3">
      <w:pPr>
        <w:pStyle w:val="eapeqf"/>
        <w:tabs>
          <w:tab w:val="center" w:pos="90"/>
          <w:tab w:val="left" w:pos="180"/>
        </w:tabs>
        <w:spacing w:before="0"/>
        <w:ind w:firstLine="540"/>
        <w:jc w:val="left"/>
        <w:rPr>
          <w:rFonts w:ascii="Arial" w:hAnsi="Arial" w:cs="Arial"/>
          <w:sz w:val="24"/>
          <w:szCs w:val="24"/>
        </w:rPr>
      </w:pPr>
      <w:r>
        <w:rPr>
          <w:rFonts w:ascii="Arial" w:hAnsi="Arial" w:cs="Arial"/>
          <w:sz w:val="24"/>
          <w:szCs w:val="24"/>
        </w:rPr>
        <w:tab/>
      </w:r>
      <w:r w:rsidRPr="00336CDE">
        <w:rPr>
          <w:rFonts w:ascii="Arial" w:hAnsi="Arial" w:cs="Arial"/>
          <w:sz w:val="24"/>
          <w:szCs w:val="24"/>
        </w:rPr>
        <w:t xml:space="preserve">From year 1 to 2:   </w:t>
      </w:r>
      <w:r w:rsidRPr="00425334">
        <w:rPr>
          <w:rFonts w:ascii="Arial" w:hAnsi="Arial" w:cs="Arial"/>
          <w:sz w:val="24"/>
          <w:szCs w:val="24"/>
        </w:rPr>
        <w:object w:dxaOrig="2780" w:dyaOrig="620">
          <v:shape id="_x0000_i1026" type="#_x0000_t75" style="width:138.75pt;height:30.75pt" o:ole="">
            <v:imagedata r:id="rId11" o:title=""/>
          </v:shape>
          <o:OLEObject Type="Embed" ProgID="Equation.3" ShapeID="_x0000_i1026" DrawAspect="Content" ObjectID="_1355990204" r:id="rId12"/>
        </w:object>
      </w:r>
      <w:r w:rsidRPr="00336CDE">
        <w:rPr>
          <w:rFonts w:ascii="Arial" w:hAnsi="Arial" w:cs="Arial"/>
          <w:sz w:val="24"/>
          <w:szCs w:val="24"/>
        </w:rPr>
        <w:t xml:space="preserve">       </w:t>
      </w:r>
    </w:p>
    <w:p w:rsidR="002443C3" w:rsidRPr="00336CDE" w:rsidRDefault="002443C3" w:rsidP="002443C3">
      <w:pPr>
        <w:pStyle w:val="eapeqf"/>
        <w:tabs>
          <w:tab w:val="center" w:pos="90"/>
          <w:tab w:val="left" w:pos="180"/>
        </w:tabs>
        <w:spacing w:before="0"/>
        <w:ind w:firstLine="540"/>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36CDE">
        <w:rPr>
          <w:rFonts w:ascii="Arial" w:hAnsi="Arial" w:cs="Arial"/>
          <w:sz w:val="24"/>
          <w:szCs w:val="24"/>
        </w:rPr>
        <w:t xml:space="preserve">   </w:t>
      </w:r>
      <w:r>
        <w:rPr>
          <w:rFonts w:ascii="Arial" w:hAnsi="Arial" w:cs="Arial"/>
          <w:sz w:val="24"/>
          <w:szCs w:val="24"/>
        </w:rPr>
        <w:tab/>
      </w:r>
    </w:p>
    <w:p w:rsidR="002443C3" w:rsidRPr="00336CDE" w:rsidRDefault="002443C3" w:rsidP="002443C3">
      <w:pPr>
        <w:pStyle w:val="eapeqf"/>
        <w:tabs>
          <w:tab w:val="center" w:pos="90"/>
          <w:tab w:val="left" w:pos="180"/>
        </w:tabs>
        <w:spacing w:before="0"/>
        <w:ind w:firstLine="540"/>
        <w:jc w:val="left"/>
        <w:rPr>
          <w:rFonts w:ascii="Arial" w:hAnsi="Arial" w:cs="Arial"/>
          <w:sz w:val="24"/>
          <w:szCs w:val="24"/>
        </w:rPr>
      </w:pPr>
    </w:p>
    <w:p w:rsidR="002443C3" w:rsidRDefault="002443C3" w:rsidP="002443C3">
      <w:pPr>
        <w:pStyle w:val="eapeqf"/>
        <w:tabs>
          <w:tab w:val="center" w:pos="90"/>
          <w:tab w:val="left" w:pos="180"/>
          <w:tab w:val="left" w:pos="720"/>
        </w:tabs>
        <w:spacing w:before="0"/>
        <w:ind w:firstLine="540"/>
        <w:jc w:val="left"/>
        <w:rPr>
          <w:rFonts w:ascii="Arial" w:hAnsi="Arial" w:cs="Arial"/>
          <w:spacing w:val="-27"/>
          <w:sz w:val="24"/>
          <w:szCs w:val="24"/>
        </w:rPr>
      </w:pPr>
      <w:r>
        <w:rPr>
          <w:rFonts w:ascii="Arial" w:hAnsi="Arial" w:cs="Arial"/>
          <w:sz w:val="24"/>
          <w:szCs w:val="24"/>
        </w:rPr>
        <w:tab/>
      </w:r>
      <w:r w:rsidRPr="00336CDE">
        <w:rPr>
          <w:rFonts w:ascii="Arial" w:hAnsi="Arial" w:cs="Arial"/>
          <w:sz w:val="24"/>
          <w:szCs w:val="24"/>
        </w:rPr>
        <w:t xml:space="preserve">From year 2 to 3: </w:t>
      </w:r>
      <w:r w:rsidRPr="00336CDE">
        <w:rPr>
          <w:rFonts w:cs="Arial"/>
          <w:sz w:val="24"/>
          <w:szCs w:val="24"/>
        </w:rPr>
        <w:t>​</w:t>
      </w:r>
      <w:r w:rsidRPr="00336CDE">
        <w:rPr>
          <w:rFonts w:ascii="Arial" w:hAnsi="Arial" w:cs="Arial"/>
          <w:spacing w:val="-27"/>
          <w:sz w:val="24"/>
          <w:szCs w:val="24"/>
        </w:rPr>
        <w:t xml:space="preserve">   </w:t>
      </w:r>
      <w:r w:rsidRPr="00425334">
        <w:rPr>
          <w:rFonts w:ascii="Arial" w:hAnsi="Arial" w:cs="Arial"/>
          <w:spacing w:val="-27"/>
          <w:sz w:val="24"/>
          <w:szCs w:val="24"/>
        </w:rPr>
        <w:object w:dxaOrig="3080" w:dyaOrig="620">
          <v:shape id="_x0000_i1027" type="#_x0000_t75" style="width:153.75pt;height:30.75pt" o:ole="">
            <v:imagedata r:id="rId13" o:title=""/>
          </v:shape>
          <o:OLEObject Type="Embed" ProgID="Equation.3" ShapeID="_x0000_i1027" DrawAspect="Content" ObjectID="_1355990205" r:id="rId14"/>
        </w:object>
      </w:r>
      <w:r w:rsidRPr="00336CDE">
        <w:rPr>
          <w:rFonts w:ascii="Arial" w:hAnsi="Arial" w:cs="Arial"/>
          <w:spacing w:val="-27"/>
          <w:sz w:val="24"/>
          <w:szCs w:val="24"/>
        </w:rPr>
        <w:t xml:space="preserve">            </w:t>
      </w:r>
    </w:p>
    <w:p w:rsidR="002443C3" w:rsidRPr="00336CDE" w:rsidRDefault="002443C3" w:rsidP="002443C3">
      <w:pPr>
        <w:pStyle w:val="eapeqf"/>
        <w:tabs>
          <w:tab w:val="center" w:pos="90"/>
          <w:tab w:val="left" w:pos="180"/>
          <w:tab w:val="left" w:pos="720"/>
        </w:tabs>
        <w:spacing w:before="0"/>
        <w:ind w:firstLine="540"/>
        <w:jc w:val="left"/>
        <w:rPr>
          <w:rFonts w:ascii="Arial" w:hAnsi="Arial" w:cs="Arial"/>
          <w:position w:val="13"/>
          <w:sz w:val="24"/>
          <w:szCs w:val="24"/>
        </w:rPr>
      </w:pPr>
      <w:r>
        <w:rPr>
          <w:rFonts w:ascii="Arial" w:hAnsi="Arial" w:cs="Arial"/>
          <w:spacing w:val="-27"/>
          <w:sz w:val="24"/>
          <w:szCs w:val="24"/>
        </w:rPr>
        <w:tab/>
      </w:r>
      <w:r>
        <w:rPr>
          <w:rFonts w:ascii="Arial" w:hAnsi="Arial" w:cs="Arial"/>
          <w:spacing w:val="-27"/>
          <w:sz w:val="24"/>
          <w:szCs w:val="24"/>
        </w:rPr>
        <w:tab/>
      </w:r>
      <w:r>
        <w:rPr>
          <w:rFonts w:ascii="Arial" w:hAnsi="Arial" w:cs="Arial"/>
          <w:spacing w:val="-27"/>
          <w:sz w:val="24"/>
          <w:szCs w:val="24"/>
        </w:rPr>
        <w:tab/>
      </w:r>
      <w:r>
        <w:rPr>
          <w:rFonts w:ascii="Arial" w:hAnsi="Arial" w:cs="Arial"/>
          <w:spacing w:val="-27"/>
          <w:sz w:val="24"/>
          <w:szCs w:val="24"/>
        </w:rPr>
        <w:tab/>
      </w:r>
    </w:p>
    <w:p w:rsidR="002443C3" w:rsidRPr="00336CDE" w:rsidRDefault="002443C3" w:rsidP="002443C3">
      <w:pPr>
        <w:pStyle w:val="eaplnm"/>
        <w:tabs>
          <w:tab w:val="clear" w:pos="360"/>
          <w:tab w:val="center" w:pos="90"/>
          <w:tab w:val="left" w:pos="180"/>
        </w:tabs>
        <w:spacing w:before="0"/>
        <w:ind w:left="0" w:firstLine="540"/>
        <w:rPr>
          <w:rFonts w:ascii="Arial" w:hAnsi="Arial" w:cs="Arial"/>
          <w:color w:val="auto"/>
          <w:sz w:val="24"/>
          <w:szCs w:val="24"/>
        </w:rPr>
      </w:pPr>
      <w:r w:rsidRPr="00336CDE">
        <w:rPr>
          <w:rFonts w:ascii="Arial" w:hAnsi="Arial" w:cs="Arial"/>
          <w:color w:val="auto"/>
          <w:sz w:val="24"/>
          <w:szCs w:val="24"/>
        </w:rPr>
        <w:tab/>
      </w:r>
    </w:p>
    <w:p w:rsidR="002443C3" w:rsidRDefault="002443C3" w:rsidP="002443C3">
      <w:pPr>
        <w:pStyle w:val="eaplnm"/>
        <w:tabs>
          <w:tab w:val="clear" w:pos="360"/>
          <w:tab w:val="center" w:pos="90"/>
          <w:tab w:val="left" w:pos="180"/>
        </w:tabs>
        <w:spacing w:before="0"/>
        <w:ind w:left="600" w:firstLine="0"/>
        <w:rPr>
          <w:rFonts w:ascii="Arial" w:hAnsi="Arial" w:cs="Arial"/>
          <w:color w:val="auto"/>
          <w:spacing w:val="-2"/>
          <w:sz w:val="24"/>
          <w:szCs w:val="24"/>
        </w:rPr>
      </w:pPr>
      <w:r>
        <w:rPr>
          <w:rFonts w:ascii="Arial" w:hAnsi="Arial" w:cs="Arial"/>
          <w:color w:val="auto"/>
          <w:spacing w:val="-2"/>
          <w:sz w:val="24"/>
          <w:szCs w:val="24"/>
        </w:rPr>
        <w:tab/>
      </w:r>
      <w:r w:rsidRPr="00336CDE">
        <w:rPr>
          <w:rFonts w:ascii="Arial" w:hAnsi="Arial" w:cs="Arial"/>
          <w:color w:val="auto"/>
          <w:spacing w:val="-2"/>
          <w:sz w:val="24"/>
          <w:szCs w:val="24"/>
        </w:rPr>
        <w:t xml:space="preserve">Double expects 8% in </w:t>
      </w:r>
      <w:r w:rsidRPr="00336CDE">
        <w:rPr>
          <w:rStyle w:val="italic"/>
          <w:rFonts w:cs="Arial"/>
          <w:i w:val="0"/>
          <w:iCs w:val="0"/>
          <w:color w:val="auto"/>
          <w:spacing w:val="-2"/>
          <w:szCs w:val="24"/>
        </w:rPr>
        <w:t>each</w:t>
      </w:r>
      <w:r w:rsidRPr="00336CDE">
        <w:rPr>
          <w:rFonts w:ascii="Arial" w:hAnsi="Arial" w:cs="Arial"/>
          <w:color w:val="auto"/>
          <w:spacing w:val="-2"/>
          <w:sz w:val="24"/>
          <w:szCs w:val="24"/>
        </w:rPr>
        <w:t xml:space="preserve"> of the first 2 years. Triple expects 8% in </w:t>
      </w:r>
      <w:r w:rsidRPr="00336CDE">
        <w:rPr>
          <w:rStyle w:val="italic"/>
          <w:rFonts w:cs="Arial"/>
          <w:i w:val="0"/>
          <w:iCs w:val="0"/>
          <w:color w:val="auto"/>
          <w:spacing w:val="-2"/>
          <w:szCs w:val="24"/>
        </w:rPr>
        <w:t>each</w:t>
      </w:r>
      <w:r w:rsidRPr="00336CDE">
        <w:rPr>
          <w:rFonts w:ascii="Arial" w:hAnsi="Arial" w:cs="Arial"/>
          <w:color w:val="auto"/>
          <w:spacing w:val="-2"/>
          <w:sz w:val="24"/>
          <w:szCs w:val="24"/>
        </w:rPr>
        <w:t xml:space="preserve"> of the </w:t>
      </w:r>
    </w:p>
    <w:p w:rsidR="002443C3" w:rsidRPr="00336CDE" w:rsidRDefault="002443C3" w:rsidP="002443C3">
      <w:pPr>
        <w:pStyle w:val="eaplnm"/>
        <w:tabs>
          <w:tab w:val="clear" w:pos="360"/>
          <w:tab w:val="center" w:pos="90"/>
          <w:tab w:val="left" w:pos="180"/>
        </w:tabs>
        <w:spacing w:before="0"/>
        <w:ind w:left="600" w:firstLine="0"/>
        <w:rPr>
          <w:rFonts w:ascii="Arial" w:hAnsi="Arial" w:cs="Arial"/>
          <w:color w:val="auto"/>
          <w:spacing w:val="-2"/>
          <w:sz w:val="24"/>
          <w:szCs w:val="24"/>
        </w:rPr>
      </w:pPr>
      <w:r>
        <w:rPr>
          <w:rFonts w:ascii="Arial" w:hAnsi="Arial" w:cs="Arial"/>
          <w:color w:val="auto"/>
          <w:spacing w:val="-2"/>
          <w:sz w:val="24"/>
          <w:szCs w:val="24"/>
        </w:rPr>
        <w:tab/>
      </w:r>
      <w:r w:rsidRPr="00336CDE">
        <w:rPr>
          <w:rFonts w:ascii="Arial" w:hAnsi="Arial" w:cs="Arial"/>
          <w:color w:val="auto"/>
          <w:spacing w:val="-2"/>
          <w:sz w:val="24"/>
          <w:szCs w:val="24"/>
        </w:rPr>
        <w:t>first 3 years.</w:t>
      </w:r>
    </w:p>
    <w:p w:rsidR="002443C3" w:rsidRDefault="002443C3" w:rsidP="002443C3">
      <w:pPr>
        <w:pStyle w:val="eaplnm"/>
        <w:tabs>
          <w:tab w:val="clear" w:pos="360"/>
          <w:tab w:val="center" w:pos="90"/>
          <w:tab w:val="left" w:pos="180"/>
        </w:tabs>
        <w:spacing w:before="0"/>
        <w:ind w:left="0" w:firstLine="0"/>
        <w:rPr>
          <w:rFonts w:cs="Arial"/>
          <w:color w:val="auto"/>
          <w:sz w:val="24"/>
          <w:szCs w:val="24"/>
        </w:rPr>
      </w:pPr>
      <w:r w:rsidRPr="00336CDE">
        <w:rPr>
          <w:rFonts w:cs="Arial"/>
          <w:color w:val="auto"/>
          <w:sz w:val="24"/>
          <w:szCs w:val="24"/>
        </w:rPr>
        <w:t> </w:t>
      </w: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p>
    <w:p w:rsidR="002443C3"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r w:rsidRPr="00336CDE">
        <w:rPr>
          <w:rStyle w:val="bold"/>
          <w:rFonts w:ascii="Arial" w:hAnsi="Arial" w:cs="Arial"/>
          <w:b w:val="0"/>
          <w:bCs w:val="0"/>
          <w:color w:val="auto"/>
          <w:sz w:val="24"/>
          <w:szCs w:val="24"/>
        </w:rPr>
        <w:t xml:space="preserve">  9.</w:t>
      </w:r>
      <w:r w:rsidRPr="00336CDE">
        <w:rPr>
          <w:rFonts w:ascii="Arial" w:hAnsi="Arial" w:cs="Arial"/>
          <w:color w:val="auto"/>
          <w:sz w:val="24"/>
          <w:szCs w:val="24"/>
        </w:rPr>
        <w:tab/>
      </w:r>
      <w:r>
        <w:rPr>
          <w:rFonts w:ascii="Arial" w:hAnsi="Arial" w:cs="Arial"/>
          <w:color w:val="auto"/>
          <w:sz w:val="24"/>
          <w:szCs w:val="24"/>
        </w:rPr>
        <w:tab/>
      </w:r>
      <w:r w:rsidRPr="00336CDE">
        <w:rPr>
          <w:rStyle w:val="bold"/>
          <w:rFonts w:ascii="Arial" w:hAnsi="Arial" w:cs="Arial"/>
          <w:b w:val="0"/>
          <w:bCs w:val="0"/>
          <w:color w:val="auto"/>
          <w:sz w:val="24"/>
          <w:szCs w:val="24"/>
        </w:rPr>
        <w:t>a</w:t>
      </w:r>
      <w:r>
        <w:rPr>
          <w:rFonts w:ascii="Arial" w:hAnsi="Arial" w:cs="Arial"/>
          <w:color w:val="auto"/>
          <w:sz w:val="24"/>
          <w:szCs w:val="24"/>
        </w:rPr>
        <w:t xml:space="preserve">. </w:t>
      </w:r>
      <w:r>
        <w:rPr>
          <w:rFonts w:ascii="Arial" w:hAnsi="Arial" w:cs="Arial"/>
          <w:color w:val="auto"/>
          <w:sz w:val="24"/>
          <w:szCs w:val="24"/>
        </w:rPr>
        <w:tab/>
      </w:r>
      <w:r w:rsidRPr="00336CDE">
        <w:rPr>
          <w:rFonts w:ascii="Arial" w:hAnsi="Arial" w:cs="Arial"/>
          <w:color w:val="auto"/>
          <w:sz w:val="24"/>
          <w:szCs w:val="24"/>
        </w:rPr>
        <w:t>Fals</w:t>
      </w:r>
      <w:r>
        <w:rPr>
          <w:rFonts w:ascii="Arial" w:hAnsi="Arial" w:cs="Arial"/>
          <w:color w:val="auto"/>
          <w:sz w:val="24"/>
          <w:szCs w:val="24"/>
        </w:rPr>
        <w:t>e</w:t>
      </w:r>
    </w:p>
    <w:p w:rsidR="002443C3"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p>
    <w:p w:rsidR="002443C3" w:rsidRPr="00336CDE" w:rsidRDefault="002443C3" w:rsidP="002443C3">
      <w:pPr>
        <w:pStyle w:val="eaplnm"/>
        <w:tabs>
          <w:tab w:val="clear" w:pos="360"/>
          <w:tab w:val="center" w:pos="90"/>
          <w:tab w:val="left" w:pos="180"/>
        </w:tabs>
        <w:spacing w:before="0"/>
        <w:ind w:left="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Style w:val="bold"/>
          <w:rFonts w:ascii="Arial" w:hAnsi="Arial" w:cs="Arial"/>
          <w:b w:val="0"/>
          <w:bCs w:val="0"/>
          <w:color w:val="auto"/>
          <w:sz w:val="24"/>
          <w:szCs w:val="24"/>
        </w:rPr>
        <w:t>b</w:t>
      </w:r>
      <w:r>
        <w:rPr>
          <w:rFonts w:ascii="Arial" w:hAnsi="Arial" w:cs="Arial"/>
          <w:color w:val="auto"/>
          <w:sz w:val="24"/>
          <w:szCs w:val="24"/>
        </w:rPr>
        <w:t xml:space="preserve">. </w:t>
      </w:r>
      <w:r>
        <w:rPr>
          <w:rFonts w:ascii="Arial" w:hAnsi="Arial" w:cs="Arial"/>
          <w:color w:val="auto"/>
          <w:sz w:val="24"/>
          <w:szCs w:val="24"/>
        </w:rPr>
        <w:tab/>
        <w:t>T</w:t>
      </w:r>
      <w:r w:rsidRPr="00336CDE">
        <w:rPr>
          <w:rFonts w:ascii="Arial" w:hAnsi="Arial" w:cs="Arial"/>
          <w:color w:val="auto"/>
          <w:sz w:val="24"/>
          <w:szCs w:val="24"/>
        </w:rPr>
        <w:t>rue.</w:t>
      </w:r>
    </w:p>
    <w:p w:rsidR="002443C3"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pacing w:val="-1"/>
          <w:sz w:val="24"/>
          <w:szCs w:val="24"/>
        </w:rPr>
      </w:pPr>
    </w:p>
    <w:p w:rsidR="002443C3" w:rsidRPr="00336CDE"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pacing w:val="-1"/>
          <w:sz w:val="24"/>
          <w:szCs w:val="24"/>
        </w:rPr>
      </w:pPr>
    </w:p>
    <w:p w:rsidR="002443C3" w:rsidRDefault="002443C3" w:rsidP="002443C3">
      <w:pPr>
        <w:pStyle w:val="eaplnm"/>
        <w:tabs>
          <w:tab w:val="clear" w:pos="360"/>
          <w:tab w:val="center" w:pos="90"/>
          <w:tab w:val="left" w:pos="180"/>
        </w:tabs>
        <w:spacing w:before="0"/>
        <w:ind w:left="540" w:hanging="540"/>
        <w:rPr>
          <w:rFonts w:ascii="Arial" w:hAnsi="Arial" w:cs="Arial"/>
          <w:color w:val="auto"/>
          <w:spacing w:val="-1"/>
          <w:sz w:val="24"/>
          <w:szCs w:val="24"/>
        </w:rPr>
      </w:pPr>
      <w:r w:rsidRPr="00336CDE">
        <w:rPr>
          <w:rStyle w:val="bold"/>
          <w:rFonts w:ascii="Arial" w:hAnsi="Arial" w:cs="Arial"/>
          <w:b w:val="0"/>
          <w:bCs w:val="0"/>
          <w:color w:val="auto"/>
          <w:spacing w:val="-1"/>
          <w:sz w:val="24"/>
          <w:szCs w:val="24"/>
        </w:rPr>
        <w:t>10.</w:t>
      </w:r>
      <w:r w:rsidRPr="00336CDE">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sidRPr="00336CDE">
        <w:rPr>
          <w:rFonts w:ascii="Arial" w:hAnsi="Arial" w:cs="Arial"/>
          <w:color w:val="auto"/>
          <w:spacing w:val="-1"/>
          <w:sz w:val="24"/>
          <w:szCs w:val="24"/>
        </w:rPr>
        <w:t>PVGO = 0, and EPS</w:t>
      </w:r>
      <w:r w:rsidRPr="00336CDE">
        <w:rPr>
          <w:rStyle w:val="sub"/>
          <w:rFonts w:ascii="Arial" w:hAnsi="Arial" w:cs="Arial"/>
          <w:color w:val="auto"/>
          <w:spacing w:val="-1"/>
          <w:sz w:val="24"/>
          <w:szCs w:val="24"/>
        </w:rPr>
        <w:t>1</w:t>
      </w:r>
      <w:r w:rsidRPr="00336CDE">
        <w:rPr>
          <w:rFonts w:ascii="Arial" w:hAnsi="Arial" w:cs="Arial"/>
          <w:color w:val="auto"/>
          <w:spacing w:val="-1"/>
          <w:sz w:val="24"/>
          <w:szCs w:val="24"/>
        </w:rPr>
        <w:t xml:space="preserve"> equals the average future earnings the firm could generate </w:t>
      </w:r>
    </w:p>
    <w:p w:rsidR="002443C3" w:rsidRPr="00336CDE" w:rsidRDefault="002443C3" w:rsidP="002443C3">
      <w:pPr>
        <w:pStyle w:val="eaplnm"/>
        <w:tabs>
          <w:tab w:val="clear" w:pos="360"/>
          <w:tab w:val="center" w:pos="90"/>
          <w:tab w:val="left" w:pos="180"/>
          <w:tab w:val="left" w:pos="720"/>
        </w:tabs>
        <w:spacing w:before="0"/>
        <w:rPr>
          <w:rFonts w:ascii="Arial" w:hAnsi="Arial" w:cs="Arial"/>
          <w:color w:val="auto"/>
          <w:spacing w:val="-1"/>
          <w:sz w:val="24"/>
          <w:szCs w:val="24"/>
        </w:rPr>
      </w:pPr>
      <w:r>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Pr>
          <w:rFonts w:ascii="Arial" w:hAnsi="Arial" w:cs="Arial"/>
          <w:color w:val="auto"/>
          <w:spacing w:val="-1"/>
          <w:sz w:val="24"/>
          <w:szCs w:val="24"/>
        </w:rPr>
        <w:tab/>
      </w:r>
      <w:r w:rsidRPr="00336CDE">
        <w:rPr>
          <w:rFonts w:ascii="Arial" w:hAnsi="Arial" w:cs="Arial"/>
          <w:color w:val="auto"/>
          <w:spacing w:val="-1"/>
          <w:sz w:val="24"/>
          <w:szCs w:val="24"/>
        </w:rPr>
        <w:t>under no-growth policy.</w:t>
      </w:r>
    </w:p>
    <w:p w:rsidR="002443C3"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pacing w:val="-1"/>
          <w:sz w:val="24"/>
          <w:szCs w:val="24"/>
        </w:rPr>
      </w:pPr>
    </w:p>
    <w:p w:rsidR="002443C3" w:rsidRPr="00336CDE"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pacing w:val="-1"/>
          <w:sz w:val="24"/>
          <w:szCs w:val="24"/>
        </w:rPr>
      </w:pPr>
    </w:p>
    <w:p w:rsidR="002443C3" w:rsidRDefault="002443C3" w:rsidP="002443C3">
      <w:pPr>
        <w:pStyle w:val="eaplnm"/>
        <w:tabs>
          <w:tab w:val="clear" w:pos="360"/>
          <w:tab w:val="center" w:pos="90"/>
          <w:tab w:val="left" w:pos="180"/>
        </w:tabs>
        <w:spacing w:before="0"/>
        <w:ind w:left="600" w:hanging="600"/>
        <w:rPr>
          <w:rFonts w:ascii="Arial" w:hAnsi="Arial" w:cs="Arial"/>
          <w:color w:val="auto"/>
          <w:sz w:val="24"/>
          <w:szCs w:val="24"/>
        </w:rPr>
      </w:pPr>
      <w:r w:rsidRPr="00336CDE">
        <w:rPr>
          <w:rStyle w:val="bold"/>
          <w:rFonts w:ascii="Arial" w:hAnsi="Arial" w:cs="Arial"/>
          <w:b w:val="0"/>
          <w:bCs w:val="0"/>
          <w:color w:val="auto"/>
          <w:spacing w:val="-1"/>
          <w:sz w:val="24"/>
          <w:szCs w:val="24"/>
        </w:rPr>
        <w:t>11.</w:t>
      </w:r>
      <w:r w:rsidRPr="00336CDE">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 xml:space="preserve">Free cash flow is the amount of cash thrown off by a business after all </w:t>
      </w:r>
    </w:p>
    <w:p w:rsidR="002443C3" w:rsidRDefault="002443C3" w:rsidP="002443C3">
      <w:pPr>
        <w:pStyle w:val="eaplnm"/>
        <w:tabs>
          <w:tab w:val="clear" w:pos="360"/>
          <w:tab w:val="center" w:pos="90"/>
          <w:tab w:val="left" w:pos="180"/>
        </w:tabs>
        <w:spacing w:before="0"/>
        <w:ind w:left="600" w:hanging="60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 xml:space="preserve">investments necessary for growth. In our simple examples, free cash flow equals </w:t>
      </w:r>
    </w:p>
    <w:p w:rsidR="002443C3" w:rsidRDefault="002443C3" w:rsidP="002443C3">
      <w:pPr>
        <w:pStyle w:val="eaplnm"/>
        <w:tabs>
          <w:tab w:val="clear" w:pos="360"/>
          <w:tab w:val="center" w:pos="90"/>
          <w:tab w:val="left" w:pos="180"/>
        </w:tabs>
        <w:spacing w:before="0"/>
        <w:ind w:left="600" w:hanging="60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operating cash flow minus cap</w:t>
      </w:r>
      <w:r w:rsidRPr="00336CDE">
        <w:rPr>
          <w:rFonts w:ascii="Arial" w:hAnsi="Arial" w:cs="Arial"/>
          <w:color w:val="auto"/>
          <w:sz w:val="24"/>
          <w:szCs w:val="24"/>
        </w:rPr>
        <w:t>i</w:t>
      </w:r>
      <w:r w:rsidRPr="00336CDE">
        <w:rPr>
          <w:rFonts w:ascii="Arial" w:hAnsi="Arial" w:cs="Arial"/>
          <w:color w:val="auto"/>
          <w:sz w:val="24"/>
          <w:szCs w:val="24"/>
        </w:rPr>
        <w:t xml:space="preserve">tal expenditure. Free cash flow can be negative if </w:t>
      </w:r>
    </w:p>
    <w:p w:rsidR="002443C3" w:rsidRPr="00336CDE" w:rsidRDefault="002443C3" w:rsidP="002443C3">
      <w:pPr>
        <w:pStyle w:val="eaplnm"/>
        <w:tabs>
          <w:tab w:val="clear" w:pos="360"/>
          <w:tab w:val="center" w:pos="90"/>
          <w:tab w:val="left" w:pos="180"/>
        </w:tabs>
        <w:spacing w:before="0"/>
        <w:ind w:left="600" w:hanging="60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investments are large.</w:t>
      </w:r>
    </w:p>
    <w:p w:rsidR="002443C3"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z w:val="24"/>
          <w:szCs w:val="24"/>
        </w:rPr>
      </w:pPr>
    </w:p>
    <w:p w:rsidR="002443C3" w:rsidRPr="00336CDE" w:rsidRDefault="002443C3" w:rsidP="002443C3">
      <w:pPr>
        <w:pStyle w:val="eaplnm"/>
        <w:tabs>
          <w:tab w:val="clear" w:pos="360"/>
          <w:tab w:val="center" w:pos="90"/>
          <w:tab w:val="left" w:pos="180"/>
        </w:tabs>
        <w:spacing w:before="0"/>
        <w:ind w:left="0" w:firstLine="0"/>
        <w:rPr>
          <w:rStyle w:val="bold"/>
          <w:rFonts w:ascii="Arial" w:hAnsi="Arial" w:cs="Arial"/>
          <w:b w:val="0"/>
          <w:bCs w:val="0"/>
          <w:color w:val="auto"/>
          <w:sz w:val="24"/>
          <w:szCs w:val="24"/>
        </w:rPr>
      </w:pPr>
    </w:p>
    <w:p w:rsidR="002443C3" w:rsidRDefault="002443C3" w:rsidP="002443C3">
      <w:pPr>
        <w:pStyle w:val="eaplnm"/>
        <w:tabs>
          <w:tab w:val="clear" w:pos="360"/>
          <w:tab w:val="center" w:pos="90"/>
          <w:tab w:val="left" w:pos="180"/>
        </w:tabs>
        <w:spacing w:before="0"/>
        <w:ind w:left="180" w:hanging="180"/>
        <w:rPr>
          <w:rFonts w:ascii="Arial" w:hAnsi="Arial" w:cs="Arial"/>
          <w:color w:val="auto"/>
          <w:sz w:val="24"/>
          <w:szCs w:val="24"/>
        </w:rPr>
      </w:pPr>
      <w:r w:rsidRPr="00336CDE">
        <w:rPr>
          <w:rStyle w:val="bold"/>
          <w:rFonts w:ascii="Arial" w:hAnsi="Arial" w:cs="Arial"/>
          <w:b w:val="0"/>
          <w:bCs w:val="0"/>
          <w:color w:val="auto"/>
          <w:sz w:val="24"/>
          <w:szCs w:val="24"/>
        </w:rPr>
        <w:t>12.</w:t>
      </w:r>
      <w:r w:rsidRPr="00336CDE">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 xml:space="preserve">The value at the end of a forecast period. Horizon value can be estimated </w:t>
      </w:r>
    </w:p>
    <w:p w:rsidR="002443C3"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using the constant-growth DCF formula or by using price–earnings or market–</w:t>
      </w:r>
    </w:p>
    <w:p w:rsidR="002443C3" w:rsidRPr="00336CDE" w:rsidRDefault="002443C3" w:rsidP="002443C3">
      <w:pPr>
        <w:pStyle w:val="eaplnm"/>
        <w:tabs>
          <w:tab w:val="clear" w:pos="360"/>
          <w:tab w:val="center" w:pos="90"/>
          <w:tab w:val="left" w:pos="180"/>
          <w:tab w:val="left" w:pos="720"/>
        </w:tabs>
        <w:spacing w:before="0"/>
        <w:ind w:left="0" w:firstLin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336CDE">
        <w:rPr>
          <w:rFonts w:ascii="Arial" w:hAnsi="Arial" w:cs="Arial"/>
          <w:color w:val="auto"/>
          <w:sz w:val="24"/>
          <w:szCs w:val="24"/>
        </w:rPr>
        <w:t>book ratios for similar companies.</w:t>
      </w:r>
    </w:p>
    <w:p w:rsidR="002443C3" w:rsidRDefault="002443C3" w:rsidP="002443C3">
      <w:pPr>
        <w:tabs>
          <w:tab w:val="center" w:pos="90"/>
          <w:tab w:val="left" w:pos="180"/>
        </w:tabs>
        <w:rPr>
          <w:rStyle w:val="bold"/>
          <w:rFonts w:cs="Arial"/>
          <w:b w:val="0"/>
          <w:bCs w:val="0"/>
          <w:szCs w:val="24"/>
        </w:rPr>
      </w:pPr>
    </w:p>
    <w:p w:rsidR="002443C3" w:rsidRPr="00336CDE" w:rsidRDefault="002443C3" w:rsidP="002443C3">
      <w:pPr>
        <w:tabs>
          <w:tab w:val="center" w:pos="90"/>
          <w:tab w:val="left" w:pos="180"/>
        </w:tabs>
        <w:rPr>
          <w:rStyle w:val="bold"/>
          <w:rFonts w:cs="Arial"/>
          <w:b w:val="0"/>
          <w:bCs w:val="0"/>
          <w:szCs w:val="24"/>
        </w:rPr>
      </w:pPr>
    </w:p>
    <w:p w:rsidR="002443C3" w:rsidRDefault="002443C3" w:rsidP="002443C3">
      <w:pPr>
        <w:tabs>
          <w:tab w:val="center" w:pos="90"/>
          <w:tab w:val="left" w:pos="180"/>
        </w:tabs>
        <w:rPr>
          <w:rFonts w:cs="Arial"/>
          <w:spacing w:val="3"/>
          <w:szCs w:val="24"/>
        </w:rPr>
      </w:pPr>
      <w:r w:rsidRPr="00336CDE">
        <w:rPr>
          <w:rStyle w:val="bold"/>
          <w:rFonts w:cs="Arial"/>
          <w:b w:val="0"/>
          <w:bCs w:val="0"/>
          <w:szCs w:val="24"/>
        </w:rPr>
        <w:t>13.</w:t>
      </w:r>
      <w:r w:rsidRPr="00336CDE">
        <w:rPr>
          <w:rFonts w:cs="Arial"/>
          <w:szCs w:val="24"/>
        </w:rPr>
        <w:t xml:space="preserve">     </w:t>
      </w:r>
      <w:r>
        <w:rPr>
          <w:rFonts w:cs="Arial"/>
          <w:szCs w:val="24"/>
        </w:rPr>
        <w:tab/>
      </w:r>
      <w:r w:rsidRPr="00336CDE">
        <w:rPr>
          <w:rFonts w:cs="Arial"/>
          <w:spacing w:val="3"/>
          <w:szCs w:val="24"/>
        </w:rPr>
        <w:t xml:space="preserve">If PVGO = 0 at the horizon date </w:t>
      </w:r>
      <w:r w:rsidRPr="00425334">
        <w:rPr>
          <w:rStyle w:val="italic"/>
          <w:rFonts w:cs="Arial"/>
          <w:iCs w:val="0"/>
          <w:spacing w:val="3"/>
          <w:szCs w:val="24"/>
        </w:rPr>
        <w:t>H</w:t>
      </w:r>
      <w:r w:rsidRPr="00336CDE">
        <w:rPr>
          <w:rStyle w:val="italic"/>
          <w:rFonts w:cs="Arial"/>
          <w:i w:val="0"/>
          <w:iCs w:val="0"/>
          <w:spacing w:val="3"/>
          <w:szCs w:val="24"/>
        </w:rPr>
        <w:t>,</w:t>
      </w:r>
      <w:r w:rsidRPr="00336CDE">
        <w:rPr>
          <w:rFonts w:cs="Arial"/>
          <w:spacing w:val="3"/>
          <w:szCs w:val="24"/>
        </w:rPr>
        <w:t xml:space="preserve"> horizon value = earnings forecasted for </w:t>
      </w:r>
      <w:r w:rsidRPr="00425334">
        <w:rPr>
          <w:rStyle w:val="italic"/>
          <w:rFonts w:cs="Arial"/>
          <w:iCs w:val="0"/>
          <w:spacing w:val="3"/>
          <w:szCs w:val="24"/>
        </w:rPr>
        <w:t>H</w:t>
      </w:r>
      <w:r w:rsidRPr="00336CDE">
        <w:rPr>
          <w:rFonts w:cs="Arial"/>
          <w:spacing w:val="3"/>
          <w:szCs w:val="24"/>
        </w:rPr>
        <w:t xml:space="preserve"> + </w:t>
      </w:r>
    </w:p>
    <w:p w:rsidR="002443C3" w:rsidRPr="0018282F" w:rsidRDefault="002443C3" w:rsidP="002443C3">
      <w:pPr>
        <w:tabs>
          <w:tab w:val="center" w:pos="90"/>
          <w:tab w:val="left" w:pos="180"/>
        </w:tabs>
        <w:rPr>
          <w:rFonts w:cs="Arial"/>
          <w:spacing w:val="3"/>
          <w:szCs w:val="24"/>
        </w:rPr>
      </w:pPr>
      <w:r>
        <w:rPr>
          <w:rFonts w:cs="Arial"/>
          <w:spacing w:val="3"/>
          <w:szCs w:val="24"/>
        </w:rPr>
        <w:tab/>
      </w:r>
      <w:r>
        <w:rPr>
          <w:rFonts w:cs="Arial"/>
          <w:spacing w:val="3"/>
          <w:szCs w:val="24"/>
        </w:rPr>
        <w:tab/>
        <w:t xml:space="preserve">      </w:t>
      </w:r>
      <w:r>
        <w:rPr>
          <w:rFonts w:cs="Arial"/>
          <w:spacing w:val="3"/>
          <w:szCs w:val="24"/>
        </w:rPr>
        <w:tab/>
      </w:r>
      <w:r w:rsidRPr="00336CDE">
        <w:rPr>
          <w:rFonts w:cs="Arial"/>
          <w:spacing w:val="3"/>
          <w:szCs w:val="24"/>
        </w:rPr>
        <w:t xml:space="preserve">1 divided by </w:t>
      </w:r>
      <w:r w:rsidRPr="00336CDE">
        <w:rPr>
          <w:rStyle w:val="italic"/>
          <w:rFonts w:cs="Arial"/>
          <w:iCs w:val="0"/>
          <w:spacing w:val="3"/>
          <w:szCs w:val="24"/>
        </w:rPr>
        <w:t>r</w:t>
      </w:r>
      <w:r w:rsidRPr="00336CDE">
        <w:rPr>
          <w:rStyle w:val="italic"/>
          <w:rFonts w:cs="Arial"/>
          <w:i w:val="0"/>
          <w:iCs w:val="0"/>
          <w:spacing w:val="3"/>
          <w:szCs w:val="24"/>
        </w:rPr>
        <w:t>.</w:t>
      </w:r>
    </w:p>
    <w:p w:rsidR="002443C3" w:rsidRDefault="002443C3" w:rsidP="002443C3">
      <w:pPr>
        <w:spacing w:line="220" w:lineRule="exact"/>
      </w:pPr>
    </w:p>
    <w:p w:rsidR="002443C3" w:rsidRDefault="002443C3" w:rsidP="002443C3">
      <w:pPr>
        <w:spacing w:line="220" w:lineRule="exact"/>
      </w:pPr>
    </w:p>
    <w:p w:rsidR="002443C3" w:rsidRDefault="002443C3" w:rsidP="002443C3">
      <w:pPr>
        <w:pStyle w:val="Header"/>
        <w:tabs>
          <w:tab w:val="clear" w:pos="4320"/>
          <w:tab w:val="clear" w:pos="8640"/>
        </w:tabs>
        <w:ind w:left="720" w:hanging="720"/>
      </w:pPr>
      <w:r>
        <w:t>14.</w:t>
      </w:r>
      <w:r>
        <w:tab/>
        <w:t>Newspaper exercise, answers will vary</w:t>
      </w:r>
    </w:p>
    <w:p w:rsidR="002443C3" w:rsidRDefault="002443C3" w:rsidP="002443C3">
      <w:pPr>
        <w:pStyle w:val="BodyTextIndent"/>
        <w:tabs>
          <w:tab w:val="clear" w:pos="720"/>
        </w:tabs>
        <w:spacing w:line="200" w:lineRule="exact"/>
      </w:pPr>
    </w:p>
    <w:p w:rsidR="002443C3" w:rsidRDefault="002443C3" w:rsidP="002443C3">
      <w:pPr>
        <w:pStyle w:val="BodyTextIndent"/>
        <w:tabs>
          <w:tab w:val="clear" w:pos="720"/>
        </w:tabs>
        <w:spacing w:line="200" w:lineRule="exact"/>
      </w:pPr>
    </w:p>
    <w:p w:rsidR="002443C3" w:rsidRDefault="002443C3" w:rsidP="002443C3">
      <w:pPr>
        <w:pStyle w:val="BodyTextIndent"/>
        <w:tabs>
          <w:tab w:val="clear" w:pos="720"/>
        </w:tabs>
        <w:spacing w:line="200" w:lineRule="exact"/>
      </w:pPr>
    </w:p>
    <w:p w:rsidR="002443C3" w:rsidRDefault="002443C3" w:rsidP="002443C3">
      <w:pPr>
        <w:pStyle w:val="BodyTextIndent"/>
        <w:tabs>
          <w:tab w:val="clear" w:pos="720"/>
        </w:tabs>
        <w:spacing w:line="200" w:lineRule="exact"/>
      </w:pPr>
      <w:r>
        <w:br w:type="page"/>
      </w:r>
    </w:p>
    <w:p w:rsidR="002443C3" w:rsidRDefault="002443C3" w:rsidP="002443C3">
      <w:pPr>
        <w:pStyle w:val="BodyTextIndent"/>
        <w:tabs>
          <w:tab w:val="clear" w:pos="720"/>
        </w:tabs>
        <w:spacing w:line="200" w:lineRule="exact"/>
      </w:pPr>
    </w:p>
    <w:p w:rsidR="002443C3" w:rsidRDefault="002443C3" w:rsidP="002443C3">
      <w:pPr>
        <w:pStyle w:val="BodyTextIndent"/>
        <w:tabs>
          <w:tab w:val="clear" w:pos="720"/>
        </w:tabs>
        <w:ind w:left="0" w:firstLine="0"/>
      </w:pPr>
      <w:r>
        <w:t>15.</w:t>
      </w:r>
      <w:r>
        <w:tab/>
      </w:r>
    </w:p>
    <w:tbl>
      <w:tblPr>
        <w:tblW w:w="0" w:type="auto"/>
        <w:tblInd w:w="558" w:type="dxa"/>
        <w:tblBorders>
          <w:top w:val="nil"/>
          <w:left w:val="nil"/>
          <w:bottom w:val="nil"/>
          <w:right w:val="nil"/>
          <w:insideH w:val="nil"/>
          <w:insideV w:val="nil"/>
        </w:tblBorders>
        <w:tblLayout w:type="fixed"/>
        <w:tblLook w:val="00AE"/>
      </w:tblPr>
      <w:tblGrid>
        <w:gridCol w:w="1350"/>
        <w:gridCol w:w="1375"/>
        <w:gridCol w:w="1375"/>
        <w:gridCol w:w="40"/>
        <w:gridCol w:w="1440"/>
        <w:gridCol w:w="1270"/>
        <w:gridCol w:w="1340"/>
        <w:gridCol w:w="36"/>
      </w:tblGrid>
      <w:tr w:rsidR="002443C3" w:rsidTr="002443C3">
        <w:tblPrEx>
          <w:tblCellMar>
            <w:top w:w="0" w:type="dxa"/>
            <w:bottom w:w="0" w:type="dxa"/>
          </w:tblCellMar>
        </w:tblPrEx>
        <w:trPr>
          <w:gridAfter w:val="1"/>
          <w:wAfter w:w="36" w:type="dxa"/>
          <w:cantSplit/>
          <w:trHeight w:val="200"/>
        </w:trPr>
        <w:tc>
          <w:tcPr>
            <w:tcW w:w="1350" w:type="dxa"/>
            <w:tcBorders>
              <w:bottom w:val="single" w:sz="4" w:space="0" w:color="auto"/>
            </w:tcBorders>
          </w:tcPr>
          <w:p w:rsidR="002443C3" w:rsidRDefault="002443C3" w:rsidP="002443C3">
            <w:pPr>
              <w:pStyle w:val="BodyTextIndent"/>
              <w:tabs>
                <w:tab w:val="clear" w:pos="720"/>
              </w:tabs>
              <w:ind w:left="0" w:firstLine="0"/>
              <w:jc w:val="center"/>
            </w:pPr>
          </w:p>
        </w:tc>
        <w:tc>
          <w:tcPr>
            <w:tcW w:w="2790" w:type="dxa"/>
            <w:gridSpan w:val="3"/>
            <w:tcBorders>
              <w:bottom w:val="single" w:sz="4" w:space="0" w:color="auto"/>
            </w:tcBorders>
          </w:tcPr>
          <w:p w:rsidR="002443C3" w:rsidRDefault="002443C3" w:rsidP="002443C3">
            <w:pPr>
              <w:pStyle w:val="BodyTextIndent"/>
              <w:tabs>
                <w:tab w:val="clear" w:pos="720"/>
              </w:tabs>
              <w:ind w:left="0" w:firstLine="0"/>
              <w:jc w:val="center"/>
            </w:pPr>
            <w:r>
              <w:t>Expected Future Values</w:t>
            </w:r>
          </w:p>
        </w:tc>
        <w:tc>
          <w:tcPr>
            <w:tcW w:w="4050" w:type="dxa"/>
            <w:gridSpan w:val="3"/>
            <w:tcBorders>
              <w:bottom w:val="single" w:sz="4" w:space="0" w:color="auto"/>
            </w:tcBorders>
          </w:tcPr>
          <w:p w:rsidR="002443C3" w:rsidRDefault="002443C3" w:rsidP="002443C3">
            <w:pPr>
              <w:pStyle w:val="BodyTextIndent"/>
              <w:tabs>
                <w:tab w:val="clear" w:pos="720"/>
              </w:tabs>
              <w:ind w:left="0" w:firstLine="0"/>
              <w:jc w:val="center"/>
            </w:pPr>
            <w:r>
              <w:t>Present Values</w:t>
            </w:r>
          </w:p>
        </w:tc>
      </w:tr>
      <w:tr w:rsidR="002443C3" w:rsidTr="002443C3">
        <w:tblPrEx>
          <w:tblCellMar>
            <w:top w:w="0" w:type="dxa"/>
            <w:bottom w:w="0" w:type="dxa"/>
          </w:tblCellMar>
        </w:tblPrEx>
        <w:trPr>
          <w:trHeight w:val="602"/>
        </w:trPr>
        <w:tc>
          <w:tcPr>
            <w:tcW w:w="1350" w:type="dxa"/>
            <w:tcBorders>
              <w:bottom w:val="single" w:sz="4" w:space="0" w:color="auto"/>
            </w:tcBorders>
            <w:vAlign w:val="center"/>
          </w:tcPr>
          <w:p w:rsidR="002443C3" w:rsidRDefault="002443C3" w:rsidP="002443C3">
            <w:pPr>
              <w:pStyle w:val="BodyTextIndent"/>
              <w:tabs>
                <w:tab w:val="clear" w:pos="720"/>
              </w:tabs>
              <w:ind w:left="0" w:firstLine="0"/>
              <w:jc w:val="center"/>
            </w:pPr>
            <w:r>
              <w:t>Horizon Period (H)</w:t>
            </w:r>
          </w:p>
        </w:tc>
        <w:tc>
          <w:tcPr>
            <w:tcW w:w="1375" w:type="dxa"/>
            <w:tcBorders>
              <w:bottom w:val="single" w:sz="4" w:space="0" w:color="auto"/>
            </w:tcBorders>
            <w:vAlign w:val="center"/>
          </w:tcPr>
          <w:p w:rsidR="002443C3" w:rsidRDefault="002443C3" w:rsidP="002443C3">
            <w:pPr>
              <w:pStyle w:val="BodyTextIndent"/>
              <w:tabs>
                <w:tab w:val="clear" w:pos="720"/>
              </w:tabs>
              <w:ind w:left="0" w:firstLine="0"/>
              <w:jc w:val="center"/>
            </w:pPr>
            <w:r>
              <w:t>Dividend (DIV</w:t>
            </w:r>
            <w:r>
              <w:rPr>
                <w:vertAlign w:val="subscript"/>
              </w:rPr>
              <w:t xml:space="preserve">t </w:t>
            </w:r>
            <w:r>
              <w:t>)</w:t>
            </w:r>
          </w:p>
        </w:tc>
        <w:tc>
          <w:tcPr>
            <w:tcW w:w="1375" w:type="dxa"/>
            <w:tcBorders>
              <w:bottom w:val="single" w:sz="4" w:space="0" w:color="auto"/>
            </w:tcBorders>
            <w:vAlign w:val="center"/>
          </w:tcPr>
          <w:p w:rsidR="002443C3" w:rsidRDefault="002443C3" w:rsidP="002443C3">
            <w:pPr>
              <w:pStyle w:val="BodyTextIndent"/>
              <w:tabs>
                <w:tab w:val="clear" w:pos="720"/>
              </w:tabs>
              <w:ind w:left="0" w:firstLine="0"/>
              <w:jc w:val="center"/>
            </w:pPr>
            <w:r>
              <w:t>Price</w:t>
            </w:r>
          </w:p>
          <w:p w:rsidR="002443C3" w:rsidRDefault="002443C3" w:rsidP="002443C3">
            <w:pPr>
              <w:pStyle w:val="BodyTextIndent"/>
              <w:tabs>
                <w:tab w:val="clear" w:pos="720"/>
              </w:tabs>
              <w:ind w:left="0" w:firstLine="0"/>
              <w:jc w:val="center"/>
            </w:pPr>
            <w:r>
              <w:t>(P</w:t>
            </w:r>
            <w:r>
              <w:rPr>
                <w:vertAlign w:val="subscript"/>
              </w:rPr>
              <w:t xml:space="preserve">t </w:t>
            </w:r>
            <w:r>
              <w:t>)</w:t>
            </w:r>
          </w:p>
        </w:tc>
        <w:tc>
          <w:tcPr>
            <w:tcW w:w="1480" w:type="dxa"/>
            <w:gridSpan w:val="2"/>
            <w:tcBorders>
              <w:bottom w:val="single" w:sz="4" w:space="0" w:color="auto"/>
            </w:tcBorders>
            <w:vAlign w:val="center"/>
          </w:tcPr>
          <w:p w:rsidR="002443C3" w:rsidRDefault="002443C3" w:rsidP="002443C3">
            <w:pPr>
              <w:pStyle w:val="BodyTextIndent"/>
              <w:tabs>
                <w:tab w:val="clear" w:pos="720"/>
              </w:tabs>
              <w:ind w:left="0" w:firstLine="0"/>
              <w:jc w:val="center"/>
            </w:pPr>
            <w:r>
              <w:t>Cumulative Dividends</w:t>
            </w:r>
          </w:p>
        </w:tc>
        <w:tc>
          <w:tcPr>
            <w:tcW w:w="1270" w:type="dxa"/>
            <w:tcBorders>
              <w:bottom w:val="single" w:sz="4" w:space="0" w:color="auto"/>
            </w:tcBorders>
            <w:vAlign w:val="center"/>
          </w:tcPr>
          <w:p w:rsidR="002443C3" w:rsidRDefault="002443C3" w:rsidP="002443C3">
            <w:pPr>
              <w:pStyle w:val="BodyTextIndent"/>
              <w:tabs>
                <w:tab w:val="clear" w:pos="720"/>
              </w:tabs>
              <w:ind w:left="0" w:firstLine="0"/>
              <w:jc w:val="center"/>
            </w:pPr>
            <w:r>
              <w:t>Future Price</w:t>
            </w:r>
          </w:p>
        </w:tc>
        <w:tc>
          <w:tcPr>
            <w:tcW w:w="1376" w:type="dxa"/>
            <w:gridSpan w:val="2"/>
            <w:tcBorders>
              <w:bottom w:val="single" w:sz="4" w:space="0" w:color="auto"/>
            </w:tcBorders>
            <w:vAlign w:val="center"/>
          </w:tcPr>
          <w:p w:rsidR="002443C3" w:rsidRDefault="002443C3" w:rsidP="002443C3">
            <w:pPr>
              <w:pStyle w:val="BodyTextIndent"/>
              <w:tabs>
                <w:tab w:val="clear" w:pos="720"/>
              </w:tabs>
              <w:ind w:left="0" w:firstLine="0"/>
              <w:jc w:val="center"/>
            </w:pPr>
            <w:r>
              <w:t>Total</w:t>
            </w:r>
          </w:p>
        </w:tc>
      </w:tr>
      <w:tr w:rsidR="002443C3" w:rsidTr="002443C3">
        <w:tblPrEx>
          <w:tblCellMar>
            <w:top w:w="0" w:type="dxa"/>
            <w:bottom w:w="0" w:type="dxa"/>
          </w:tblCellMar>
        </w:tblPrEx>
        <w:trPr>
          <w:trHeight w:val="260"/>
        </w:trPr>
        <w:tc>
          <w:tcPr>
            <w:tcW w:w="1350" w:type="dxa"/>
            <w:tcBorders>
              <w:top w:val="nil"/>
            </w:tcBorders>
          </w:tcPr>
          <w:p w:rsidR="002443C3" w:rsidRDefault="002443C3" w:rsidP="002443C3">
            <w:pPr>
              <w:pStyle w:val="BodyTextIndent"/>
              <w:tabs>
                <w:tab w:val="clear" w:pos="720"/>
                <w:tab w:val="decimal" w:pos="702"/>
              </w:tabs>
              <w:spacing w:before="120"/>
              <w:ind w:left="0" w:firstLine="0"/>
            </w:pPr>
            <w:r>
              <w:t>0</w:t>
            </w:r>
          </w:p>
        </w:tc>
        <w:tc>
          <w:tcPr>
            <w:tcW w:w="1375" w:type="dxa"/>
            <w:tcBorders>
              <w:top w:val="nil"/>
            </w:tcBorders>
          </w:tcPr>
          <w:p w:rsidR="002443C3" w:rsidRDefault="002443C3" w:rsidP="002443C3">
            <w:pPr>
              <w:pStyle w:val="BodyTextIndent"/>
              <w:tabs>
                <w:tab w:val="clear" w:pos="720"/>
                <w:tab w:val="decimal" w:pos="810"/>
              </w:tabs>
              <w:spacing w:before="120"/>
              <w:ind w:left="0" w:firstLine="0"/>
            </w:pPr>
          </w:p>
        </w:tc>
        <w:tc>
          <w:tcPr>
            <w:tcW w:w="1375" w:type="dxa"/>
            <w:tcBorders>
              <w:top w:val="nil"/>
            </w:tcBorders>
          </w:tcPr>
          <w:p w:rsidR="002443C3" w:rsidRDefault="002443C3" w:rsidP="002443C3">
            <w:pPr>
              <w:pStyle w:val="BodyTextIndent"/>
              <w:tabs>
                <w:tab w:val="clear" w:pos="720"/>
                <w:tab w:val="decimal" w:pos="756"/>
              </w:tabs>
              <w:spacing w:before="120"/>
              <w:ind w:left="0" w:firstLine="0"/>
            </w:pPr>
            <w:r>
              <w:t>100.00</w:t>
            </w:r>
          </w:p>
        </w:tc>
        <w:tc>
          <w:tcPr>
            <w:tcW w:w="1480" w:type="dxa"/>
            <w:gridSpan w:val="2"/>
            <w:tcBorders>
              <w:top w:val="nil"/>
            </w:tcBorders>
          </w:tcPr>
          <w:p w:rsidR="002443C3" w:rsidRDefault="002443C3" w:rsidP="002443C3">
            <w:pPr>
              <w:pStyle w:val="BodyTextIndent"/>
              <w:tabs>
                <w:tab w:val="clear" w:pos="720"/>
                <w:tab w:val="decimal" w:pos="792"/>
              </w:tabs>
              <w:spacing w:before="120"/>
              <w:ind w:left="0" w:firstLine="0"/>
            </w:pPr>
          </w:p>
        </w:tc>
        <w:tc>
          <w:tcPr>
            <w:tcW w:w="1270" w:type="dxa"/>
            <w:tcBorders>
              <w:top w:val="nil"/>
            </w:tcBorders>
          </w:tcPr>
          <w:p w:rsidR="002443C3" w:rsidRDefault="002443C3" w:rsidP="002443C3">
            <w:pPr>
              <w:pStyle w:val="BodyTextIndent"/>
              <w:tabs>
                <w:tab w:val="clear" w:pos="720"/>
                <w:tab w:val="decimal" w:pos="522"/>
              </w:tabs>
              <w:spacing w:before="120"/>
              <w:ind w:left="0" w:firstLine="0"/>
            </w:pPr>
            <w:r>
              <w:t>100.00</w:t>
            </w:r>
          </w:p>
        </w:tc>
        <w:tc>
          <w:tcPr>
            <w:tcW w:w="1376" w:type="dxa"/>
            <w:gridSpan w:val="2"/>
            <w:tcBorders>
              <w:top w:val="nil"/>
            </w:tcBorders>
          </w:tcPr>
          <w:p w:rsidR="002443C3" w:rsidRDefault="002443C3" w:rsidP="002443C3">
            <w:pPr>
              <w:pStyle w:val="BodyTextIndent"/>
              <w:tabs>
                <w:tab w:val="clear" w:pos="720"/>
              </w:tabs>
              <w:spacing w:before="120"/>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1</w:t>
            </w:r>
          </w:p>
        </w:tc>
        <w:tc>
          <w:tcPr>
            <w:tcW w:w="1375" w:type="dxa"/>
          </w:tcPr>
          <w:p w:rsidR="002443C3" w:rsidRDefault="002443C3" w:rsidP="002443C3">
            <w:pPr>
              <w:pStyle w:val="BodyTextIndent"/>
              <w:tabs>
                <w:tab w:val="clear" w:pos="720"/>
                <w:tab w:val="decimal" w:pos="612"/>
              </w:tabs>
              <w:ind w:left="0" w:firstLine="0"/>
            </w:pPr>
            <w:r>
              <w:t>10.00</w:t>
            </w:r>
          </w:p>
        </w:tc>
        <w:tc>
          <w:tcPr>
            <w:tcW w:w="1375" w:type="dxa"/>
          </w:tcPr>
          <w:p w:rsidR="002443C3" w:rsidRDefault="002443C3" w:rsidP="002443C3">
            <w:pPr>
              <w:pStyle w:val="BodyTextIndent"/>
              <w:tabs>
                <w:tab w:val="clear" w:pos="720"/>
                <w:tab w:val="decimal" w:pos="756"/>
              </w:tabs>
              <w:ind w:left="0" w:firstLine="0"/>
            </w:pPr>
            <w:r>
              <w:t>105.00</w:t>
            </w:r>
          </w:p>
        </w:tc>
        <w:tc>
          <w:tcPr>
            <w:tcW w:w="1480" w:type="dxa"/>
            <w:gridSpan w:val="2"/>
          </w:tcPr>
          <w:p w:rsidR="002443C3" w:rsidRDefault="002443C3" w:rsidP="002443C3">
            <w:pPr>
              <w:pStyle w:val="BodyTextIndent"/>
              <w:tabs>
                <w:tab w:val="clear" w:pos="720"/>
                <w:tab w:val="decimal" w:pos="630"/>
              </w:tabs>
              <w:ind w:left="0" w:firstLine="0"/>
            </w:pPr>
            <w:r>
              <w:t>8.70</w:t>
            </w:r>
          </w:p>
        </w:tc>
        <w:tc>
          <w:tcPr>
            <w:tcW w:w="1270" w:type="dxa"/>
          </w:tcPr>
          <w:p w:rsidR="002443C3" w:rsidRDefault="002443C3" w:rsidP="002443C3">
            <w:pPr>
              <w:pStyle w:val="BodyTextIndent"/>
              <w:tabs>
                <w:tab w:val="clear" w:pos="720"/>
                <w:tab w:val="decimal" w:pos="522"/>
              </w:tabs>
              <w:ind w:left="0" w:firstLine="0"/>
            </w:pPr>
            <w:r>
              <w:t>91.30</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2</w:t>
            </w:r>
          </w:p>
        </w:tc>
        <w:tc>
          <w:tcPr>
            <w:tcW w:w="1375" w:type="dxa"/>
          </w:tcPr>
          <w:p w:rsidR="002443C3" w:rsidRDefault="002443C3" w:rsidP="002443C3">
            <w:pPr>
              <w:pStyle w:val="BodyTextIndent"/>
              <w:tabs>
                <w:tab w:val="clear" w:pos="720"/>
                <w:tab w:val="decimal" w:pos="612"/>
              </w:tabs>
              <w:ind w:left="0" w:firstLine="0"/>
            </w:pPr>
            <w:r>
              <w:t>10.50</w:t>
            </w:r>
          </w:p>
        </w:tc>
        <w:tc>
          <w:tcPr>
            <w:tcW w:w="1375" w:type="dxa"/>
          </w:tcPr>
          <w:p w:rsidR="002443C3" w:rsidRDefault="002443C3" w:rsidP="002443C3">
            <w:pPr>
              <w:pStyle w:val="BodyTextIndent"/>
              <w:tabs>
                <w:tab w:val="clear" w:pos="720"/>
                <w:tab w:val="decimal" w:pos="756"/>
              </w:tabs>
              <w:ind w:left="0" w:firstLine="0"/>
            </w:pPr>
            <w:r>
              <w:t>110.25</w:t>
            </w:r>
          </w:p>
        </w:tc>
        <w:tc>
          <w:tcPr>
            <w:tcW w:w="1480" w:type="dxa"/>
            <w:gridSpan w:val="2"/>
          </w:tcPr>
          <w:p w:rsidR="002443C3" w:rsidRDefault="002443C3" w:rsidP="002443C3">
            <w:pPr>
              <w:pStyle w:val="BodyTextIndent"/>
              <w:tabs>
                <w:tab w:val="clear" w:pos="720"/>
                <w:tab w:val="decimal" w:pos="630"/>
              </w:tabs>
              <w:ind w:left="0" w:firstLine="0"/>
            </w:pPr>
            <w:r>
              <w:t>16.64</w:t>
            </w:r>
          </w:p>
        </w:tc>
        <w:tc>
          <w:tcPr>
            <w:tcW w:w="1270" w:type="dxa"/>
          </w:tcPr>
          <w:p w:rsidR="002443C3" w:rsidRDefault="002443C3" w:rsidP="002443C3">
            <w:pPr>
              <w:pStyle w:val="BodyTextIndent"/>
              <w:tabs>
                <w:tab w:val="clear" w:pos="720"/>
                <w:tab w:val="decimal" w:pos="522"/>
              </w:tabs>
              <w:ind w:left="0" w:firstLine="0"/>
            </w:pPr>
            <w:r>
              <w:t>83.36</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3</w:t>
            </w:r>
          </w:p>
        </w:tc>
        <w:tc>
          <w:tcPr>
            <w:tcW w:w="1375" w:type="dxa"/>
          </w:tcPr>
          <w:p w:rsidR="002443C3" w:rsidRDefault="002443C3" w:rsidP="002443C3">
            <w:pPr>
              <w:pStyle w:val="BodyTextIndent"/>
              <w:tabs>
                <w:tab w:val="clear" w:pos="720"/>
                <w:tab w:val="decimal" w:pos="612"/>
              </w:tabs>
              <w:ind w:left="0" w:firstLine="0"/>
            </w:pPr>
            <w:r>
              <w:t>11.03</w:t>
            </w:r>
          </w:p>
        </w:tc>
        <w:tc>
          <w:tcPr>
            <w:tcW w:w="1375" w:type="dxa"/>
          </w:tcPr>
          <w:p w:rsidR="002443C3" w:rsidRDefault="002443C3" w:rsidP="002443C3">
            <w:pPr>
              <w:pStyle w:val="BodyTextIndent"/>
              <w:tabs>
                <w:tab w:val="clear" w:pos="720"/>
                <w:tab w:val="decimal" w:pos="756"/>
              </w:tabs>
              <w:ind w:left="0" w:firstLine="0"/>
            </w:pPr>
            <w:r>
              <w:t>115.76</w:t>
            </w:r>
          </w:p>
        </w:tc>
        <w:tc>
          <w:tcPr>
            <w:tcW w:w="1480" w:type="dxa"/>
            <w:gridSpan w:val="2"/>
          </w:tcPr>
          <w:p w:rsidR="002443C3" w:rsidRDefault="002443C3" w:rsidP="002443C3">
            <w:pPr>
              <w:pStyle w:val="BodyTextIndent"/>
              <w:tabs>
                <w:tab w:val="clear" w:pos="720"/>
                <w:tab w:val="decimal" w:pos="630"/>
              </w:tabs>
              <w:ind w:left="0" w:firstLine="0"/>
            </w:pPr>
            <w:r>
              <w:t>23.88</w:t>
            </w:r>
          </w:p>
        </w:tc>
        <w:tc>
          <w:tcPr>
            <w:tcW w:w="1270" w:type="dxa"/>
          </w:tcPr>
          <w:p w:rsidR="002443C3" w:rsidRDefault="002443C3" w:rsidP="002443C3">
            <w:pPr>
              <w:pStyle w:val="BodyTextIndent"/>
              <w:tabs>
                <w:tab w:val="clear" w:pos="720"/>
                <w:tab w:val="decimal" w:pos="522"/>
              </w:tabs>
              <w:ind w:left="0" w:firstLine="0"/>
            </w:pPr>
            <w:r>
              <w:t>76.12</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4</w:t>
            </w:r>
          </w:p>
        </w:tc>
        <w:tc>
          <w:tcPr>
            <w:tcW w:w="1375" w:type="dxa"/>
          </w:tcPr>
          <w:p w:rsidR="002443C3" w:rsidRDefault="002443C3" w:rsidP="002443C3">
            <w:pPr>
              <w:pStyle w:val="BodyTextIndent"/>
              <w:tabs>
                <w:tab w:val="clear" w:pos="720"/>
                <w:tab w:val="decimal" w:pos="612"/>
              </w:tabs>
              <w:ind w:left="0" w:firstLine="0"/>
            </w:pPr>
            <w:r>
              <w:t>11.58</w:t>
            </w:r>
          </w:p>
        </w:tc>
        <w:tc>
          <w:tcPr>
            <w:tcW w:w="1375" w:type="dxa"/>
          </w:tcPr>
          <w:p w:rsidR="002443C3" w:rsidRDefault="002443C3" w:rsidP="002443C3">
            <w:pPr>
              <w:pStyle w:val="BodyTextIndent"/>
              <w:tabs>
                <w:tab w:val="clear" w:pos="720"/>
                <w:tab w:val="decimal" w:pos="756"/>
              </w:tabs>
              <w:ind w:left="0" w:firstLine="0"/>
            </w:pPr>
            <w:r>
              <w:t>121.55</w:t>
            </w:r>
          </w:p>
        </w:tc>
        <w:tc>
          <w:tcPr>
            <w:tcW w:w="1480" w:type="dxa"/>
            <w:gridSpan w:val="2"/>
          </w:tcPr>
          <w:p w:rsidR="002443C3" w:rsidRDefault="002443C3" w:rsidP="002443C3">
            <w:pPr>
              <w:pStyle w:val="BodyTextIndent"/>
              <w:tabs>
                <w:tab w:val="clear" w:pos="720"/>
                <w:tab w:val="decimal" w:pos="630"/>
              </w:tabs>
              <w:ind w:left="0" w:firstLine="0"/>
            </w:pPr>
            <w:r>
              <w:t>30.50</w:t>
            </w:r>
          </w:p>
        </w:tc>
        <w:tc>
          <w:tcPr>
            <w:tcW w:w="1270" w:type="dxa"/>
          </w:tcPr>
          <w:p w:rsidR="002443C3" w:rsidRDefault="002443C3" w:rsidP="002443C3">
            <w:pPr>
              <w:pStyle w:val="BodyTextIndent"/>
              <w:tabs>
                <w:tab w:val="clear" w:pos="720"/>
                <w:tab w:val="decimal" w:pos="522"/>
              </w:tabs>
              <w:ind w:left="0" w:firstLine="0"/>
            </w:pPr>
            <w:r>
              <w:t>69.50</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10</w:t>
            </w:r>
          </w:p>
        </w:tc>
        <w:tc>
          <w:tcPr>
            <w:tcW w:w="1375" w:type="dxa"/>
          </w:tcPr>
          <w:p w:rsidR="002443C3" w:rsidRDefault="002443C3" w:rsidP="002443C3">
            <w:pPr>
              <w:pStyle w:val="BodyTextIndent"/>
              <w:tabs>
                <w:tab w:val="clear" w:pos="720"/>
                <w:tab w:val="decimal" w:pos="612"/>
              </w:tabs>
              <w:ind w:left="0" w:firstLine="0"/>
            </w:pPr>
            <w:r>
              <w:t>15.51</w:t>
            </w:r>
          </w:p>
        </w:tc>
        <w:tc>
          <w:tcPr>
            <w:tcW w:w="1375" w:type="dxa"/>
          </w:tcPr>
          <w:p w:rsidR="002443C3" w:rsidRDefault="002443C3" w:rsidP="002443C3">
            <w:pPr>
              <w:pStyle w:val="BodyTextIndent"/>
              <w:tabs>
                <w:tab w:val="clear" w:pos="720"/>
                <w:tab w:val="decimal" w:pos="756"/>
              </w:tabs>
              <w:ind w:left="0" w:firstLine="0"/>
            </w:pPr>
            <w:r>
              <w:t>162.89</w:t>
            </w:r>
          </w:p>
        </w:tc>
        <w:tc>
          <w:tcPr>
            <w:tcW w:w="1480" w:type="dxa"/>
            <w:gridSpan w:val="2"/>
          </w:tcPr>
          <w:p w:rsidR="002443C3" w:rsidRDefault="002443C3" w:rsidP="002443C3">
            <w:pPr>
              <w:pStyle w:val="BodyTextIndent"/>
              <w:tabs>
                <w:tab w:val="clear" w:pos="720"/>
                <w:tab w:val="decimal" w:pos="630"/>
              </w:tabs>
              <w:ind w:left="0" w:firstLine="0"/>
            </w:pPr>
            <w:r>
              <w:t>59.74</w:t>
            </w:r>
          </w:p>
        </w:tc>
        <w:tc>
          <w:tcPr>
            <w:tcW w:w="1270" w:type="dxa"/>
          </w:tcPr>
          <w:p w:rsidR="002443C3" w:rsidRDefault="002443C3" w:rsidP="002443C3">
            <w:pPr>
              <w:pStyle w:val="BodyTextIndent"/>
              <w:tabs>
                <w:tab w:val="clear" w:pos="720"/>
                <w:tab w:val="decimal" w:pos="522"/>
              </w:tabs>
              <w:ind w:left="0" w:firstLine="0"/>
            </w:pPr>
            <w:r>
              <w:t>40.26</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20</w:t>
            </w:r>
          </w:p>
        </w:tc>
        <w:tc>
          <w:tcPr>
            <w:tcW w:w="1375" w:type="dxa"/>
          </w:tcPr>
          <w:p w:rsidR="002443C3" w:rsidRDefault="002443C3" w:rsidP="002443C3">
            <w:pPr>
              <w:pStyle w:val="BodyTextIndent"/>
              <w:tabs>
                <w:tab w:val="clear" w:pos="720"/>
                <w:tab w:val="decimal" w:pos="612"/>
              </w:tabs>
              <w:ind w:left="0" w:firstLine="0"/>
            </w:pPr>
            <w:r>
              <w:t>25.27</w:t>
            </w:r>
          </w:p>
        </w:tc>
        <w:tc>
          <w:tcPr>
            <w:tcW w:w="1375" w:type="dxa"/>
          </w:tcPr>
          <w:p w:rsidR="002443C3" w:rsidRDefault="002443C3" w:rsidP="002443C3">
            <w:pPr>
              <w:pStyle w:val="BodyTextIndent"/>
              <w:tabs>
                <w:tab w:val="clear" w:pos="720"/>
                <w:tab w:val="decimal" w:pos="756"/>
              </w:tabs>
              <w:ind w:left="0" w:firstLine="0"/>
            </w:pPr>
            <w:r>
              <w:t>265.33</w:t>
            </w:r>
          </w:p>
        </w:tc>
        <w:tc>
          <w:tcPr>
            <w:tcW w:w="1480" w:type="dxa"/>
            <w:gridSpan w:val="2"/>
          </w:tcPr>
          <w:p w:rsidR="002443C3" w:rsidRDefault="002443C3" w:rsidP="002443C3">
            <w:pPr>
              <w:pStyle w:val="BodyTextIndent"/>
              <w:tabs>
                <w:tab w:val="clear" w:pos="720"/>
                <w:tab w:val="decimal" w:pos="630"/>
              </w:tabs>
              <w:ind w:left="0" w:firstLine="0"/>
            </w:pPr>
            <w:r>
              <w:t>83.79</w:t>
            </w:r>
          </w:p>
        </w:tc>
        <w:tc>
          <w:tcPr>
            <w:tcW w:w="1270" w:type="dxa"/>
          </w:tcPr>
          <w:p w:rsidR="002443C3" w:rsidRDefault="002443C3" w:rsidP="002443C3">
            <w:pPr>
              <w:pStyle w:val="BodyTextIndent"/>
              <w:tabs>
                <w:tab w:val="clear" w:pos="720"/>
                <w:tab w:val="decimal" w:pos="522"/>
              </w:tabs>
              <w:ind w:left="0" w:firstLine="0"/>
            </w:pPr>
            <w:r>
              <w:t>16.21</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50</w:t>
            </w:r>
          </w:p>
        </w:tc>
        <w:tc>
          <w:tcPr>
            <w:tcW w:w="1375" w:type="dxa"/>
          </w:tcPr>
          <w:p w:rsidR="002443C3" w:rsidRDefault="002443C3" w:rsidP="002443C3">
            <w:pPr>
              <w:pStyle w:val="BodyTextIndent"/>
              <w:tabs>
                <w:tab w:val="clear" w:pos="720"/>
                <w:tab w:val="decimal" w:pos="612"/>
              </w:tabs>
              <w:ind w:left="0" w:firstLine="0"/>
            </w:pPr>
            <w:r>
              <w:t>109.21</w:t>
            </w:r>
          </w:p>
        </w:tc>
        <w:tc>
          <w:tcPr>
            <w:tcW w:w="1375" w:type="dxa"/>
          </w:tcPr>
          <w:p w:rsidR="002443C3" w:rsidRDefault="002443C3" w:rsidP="002443C3">
            <w:pPr>
              <w:pStyle w:val="BodyTextIndent"/>
              <w:tabs>
                <w:tab w:val="clear" w:pos="720"/>
                <w:tab w:val="decimal" w:pos="756"/>
              </w:tabs>
              <w:ind w:left="0" w:firstLine="0"/>
            </w:pPr>
            <w:r>
              <w:t>1,146.74</w:t>
            </w:r>
          </w:p>
        </w:tc>
        <w:tc>
          <w:tcPr>
            <w:tcW w:w="1480" w:type="dxa"/>
            <w:gridSpan w:val="2"/>
          </w:tcPr>
          <w:p w:rsidR="002443C3" w:rsidRDefault="002443C3" w:rsidP="002443C3">
            <w:pPr>
              <w:pStyle w:val="BodyTextIndent"/>
              <w:tabs>
                <w:tab w:val="clear" w:pos="720"/>
                <w:tab w:val="decimal" w:pos="630"/>
              </w:tabs>
              <w:ind w:left="0" w:firstLine="0"/>
            </w:pPr>
            <w:r>
              <w:t>98.94</w:t>
            </w:r>
          </w:p>
        </w:tc>
        <w:tc>
          <w:tcPr>
            <w:tcW w:w="1270" w:type="dxa"/>
          </w:tcPr>
          <w:p w:rsidR="002443C3" w:rsidRDefault="002443C3" w:rsidP="002443C3">
            <w:pPr>
              <w:pStyle w:val="BodyTextIndent"/>
              <w:tabs>
                <w:tab w:val="clear" w:pos="720"/>
                <w:tab w:val="decimal" w:pos="522"/>
              </w:tabs>
              <w:ind w:left="0" w:firstLine="0"/>
            </w:pPr>
            <w:r>
              <w:t>1.06</w:t>
            </w:r>
          </w:p>
        </w:tc>
        <w:tc>
          <w:tcPr>
            <w:tcW w:w="1376" w:type="dxa"/>
            <w:gridSpan w:val="2"/>
          </w:tcPr>
          <w:p w:rsidR="002443C3" w:rsidRDefault="002443C3" w:rsidP="002443C3">
            <w:pPr>
              <w:pStyle w:val="BodyTextIndent"/>
              <w:tabs>
                <w:tab w:val="clear" w:pos="720"/>
              </w:tabs>
              <w:ind w:left="0" w:firstLine="0"/>
              <w:jc w:val="center"/>
            </w:pPr>
            <w:r>
              <w:t>100.00</w:t>
            </w:r>
          </w:p>
        </w:tc>
      </w:tr>
      <w:tr w:rsidR="002443C3" w:rsidTr="002443C3">
        <w:tblPrEx>
          <w:tblCellMar>
            <w:top w:w="0" w:type="dxa"/>
            <w:bottom w:w="0" w:type="dxa"/>
          </w:tblCellMar>
        </w:tblPrEx>
        <w:tc>
          <w:tcPr>
            <w:tcW w:w="1350" w:type="dxa"/>
          </w:tcPr>
          <w:p w:rsidR="002443C3" w:rsidRDefault="002443C3" w:rsidP="002443C3">
            <w:pPr>
              <w:pStyle w:val="BodyTextIndent"/>
              <w:tabs>
                <w:tab w:val="clear" w:pos="720"/>
                <w:tab w:val="decimal" w:pos="702"/>
              </w:tabs>
              <w:ind w:left="0" w:firstLine="0"/>
            </w:pPr>
            <w:r>
              <w:t>100</w:t>
            </w:r>
          </w:p>
        </w:tc>
        <w:tc>
          <w:tcPr>
            <w:tcW w:w="1375" w:type="dxa"/>
          </w:tcPr>
          <w:p w:rsidR="002443C3" w:rsidRDefault="002443C3" w:rsidP="002443C3">
            <w:pPr>
              <w:pStyle w:val="BodyTextIndent"/>
              <w:tabs>
                <w:tab w:val="clear" w:pos="720"/>
                <w:tab w:val="decimal" w:pos="612"/>
              </w:tabs>
              <w:ind w:left="0" w:firstLine="0"/>
            </w:pPr>
            <w:r>
              <w:t>1,252.39</w:t>
            </w:r>
          </w:p>
        </w:tc>
        <w:tc>
          <w:tcPr>
            <w:tcW w:w="1375" w:type="dxa"/>
          </w:tcPr>
          <w:p w:rsidR="002443C3" w:rsidRDefault="002443C3" w:rsidP="002443C3">
            <w:pPr>
              <w:pStyle w:val="BodyTextIndent"/>
              <w:tabs>
                <w:tab w:val="clear" w:pos="720"/>
                <w:tab w:val="decimal" w:pos="756"/>
              </w:tabs>
              <w:ind w:left="0" w:firstLine="0"/>
            </w:pPr>
            <w:r>
              <w:t>13,150.13</w:t>
            </w:r>
          </w:p>
        </w:tc>
        <w:tc>
          <w:tcPr>
            <w:tcW w:w="1480" w:type="dxa"/>
            <w:gridSpan w:val="2"/>
          </w:tcPr>
          <w:p w:rsidR="002443C3" w:rsidRDefault="002443C3" w:rsidP="002443C3">
            <w:pPr>
              <w:pStyle w:val="BodyTextIndent"/>
              <w:tabs>
                <w:tab w:val="clear" w:pos="720"/>
                <w:tab w:val="decimal" w:pos="630"/>
              </w:tabs>
              <w:ind w:left="0" w:firstLine="0"/>
            </w:pPr>
            <w:r>
              <w:t>99.99</w:t>
            </w:r>
          </w:p>
        </w:tc>
        <w:tc>
          <w:tcPr>
            <w:tcW w:w="1270" w:type="dxa"/>
          </w:tcPr>
          <w:p w:rsidR="002443C3" w:rsidRDefault="002443C3" w:rsidP="002443C3">
            <w:pPr>
              <w:pStyle w:val="BodyTextIndent"/>
              <w:tabs>
                <w:tab w:val="clear" w:pos="720"/>
                <w:tab w:val="decimal" w:pos="522"/>
              </w:tabs>
              <w:ind w:left="0" w:firstLine="0"/>
            </w:pPr>
            <w:r>
              <w:t>0.01</w:t>
            </w:r>
          </w:p>
        </w:tc>
        <w:tc>
          <w:tcPr>
            <w:tcW w:w="1376" w:type="dxa"/>
            <w:gridSpan w:val="2"/>
          </w:tcPr>
          <w:p w:rsidR="002443C3" w:rsidRDefault="002443C3" w:rsidP="002443C3">
            <w:pPr>
              <w:pStyle w:val="BodyTextIndent"/>
              <w:tabs>
                <w:tab w:val="clear" w:pos="720"/>
              </w:tabs>
              <w:ind w:left="0" w:firstLine="0"/>
              <w:jc w:val="center"/>
            </w:pPr>
            <w:r>
              <w:t>100.00</w:t>
            </w:r>
          </w:p>
        </w:tc>
      </w:tr>
    </w:tbl>
    <w:p w:rsidR="002443C3" w:rsidRDefault="002443C3" w:rsidP="002443C3">
      <w:pPr>
        <w:pStyle w:val="BodyTextIndent"/>
        <w:tabs>
          <w:tab w:val="clear" w:pos="720"/>
        </w:tabs>
        <w:spacing w:before="80"/>
        <w:ind w:firstLine="0"/>
      </w:pPr>
      <w:r>
        <w:rPr>
          <w:u w:val="single"/>
        </w:rPr>
        <w:t>Assumptions</w:t>
      </w:r>
    </w:p>
    <w:p w:rsidR="002443C3" w:rsidRDefault="002443C3" w:rsidP="002443C3">
      <w:pPr>
        <w:pStyle w:val="BodyTextIndent"/>
        <w:numPr>
          <w:ilvl w:val="0"/>
          <w:numId w:val="4"/>
        </w:numPr>
        <w:tabs>
          <w:tab w:val="clear" w:pos="720"/>
          <w:tab w:val="num" w:pos="1440"/>
          <w:tab w:val="left" w:pos="1800"/>
        </w:tabs>
        <w:ind w:firstLine="0"/>
      </w:pPr>
      <w:r>
        <w:t>Dividends increase at 5% per year compounded.</w:t>
      </w:r>
    </w:p>
    <w:p w:rsidR="002443C3" w:rsidRDefault="002443C3" w:rsidP="002443C3">
      <w:pPr>
        <w:pStyle w:val="BodyTextIndent"/>
        <w:numPr>
          <w:ilvl w:val="0"/>
          <w:numId w:val="4"/>
        </w:numPr>
        <w:tabs>
          <w:tab w:val="clear" w:pos="720"/>
          <w:tab w:val="num" w:pos="1440"/>
          <w:tab w:val="left" w:pos="1800"/>
        </w:tabs>
        <w:ind w:firstLine="0"/>
      </w:pPr>
      <w:r>
        <w:t>Capitalization rate is 15%.</w:t>
      </w:r>
    </w:p>
    <w:p w:rsidR="002443C3" w:rsidRDefault="002443C3" w:rsidP="002443C3">
      <w:pPr>
        <w:pStyle w:val="BodyTextIndent"/>
        <w:tabs>
          <w:tab w:val="clear" w:pos="720"/>
        </w:tabs>
        <w:spacing w:line="200" w:lineRule="exact"/>
        <w:ind w:left="0" w:firstLine="0"/>
      </w:pPr>
    </w:p>
    <w:p w:rsidR="002443C3" w:rsidRDefault="002443C3" w:rsidP="002443C3">
      <w:pPr>
        <w:pStyle w:val="BodyTextIndent"/>
        <w:tabs>
          <w:tab w:val="clear" w:pos="720"/>
        </w:tabs>
        <w:spacing w:line="200" w:lineRule="exact"/>
        <w:ind w:left="0" w:firstLine="0"/>
      </w:pPr>
    </w:p>
    <w:p w:rsidR="002443C3" w:rsidRDefault="002443C3" w:rsidP="002443C3">
      <w:pPr>
        <w:pStyle w:val="BodyTextIndent"/>
        <w:tabs>
          <w:tab w:val="clear" w:pos="720"/>
        </w:tabs>
        <w:spacing w:line="360" w:lineRule="auto"/>
      </w:pPr>
      <w:r>
        <w:rPr>
          <w:noProof/>
        </w:rPr>
        <w:t>16.</w:t>
      </w:r>
      <w:r>
        <w:rPr>
          <w:noProof/>
        </w:rPr>
        <w:tab/>
      </w:r>
      <w:r>
        <w:rPr>
          <w:noProof/>
          <w:position w:val="-24"/>
        </w:rPr>
        <w:object w:dxaOrig="3019" w:dyaOrig="620">
          <v:shape id="_x0000_i1028" type="#_x0000_t75" style="width:150.75pt;height:30.75pt" o:ole="" fillcolor="window">
            <v:imagedata r:id="rId15" o:title=""/>
          </v:shape>
          <o:OLEObject Type="Embed" ProgID="Equation.3" ShapeID="_x0000_i1028" DrawAspect="Content" ObjectID="_1355990206" r:id="rId16"/>
        </w:object>
      </w:r>
    </w:p>
    <w:p w:rsidR="002443C3" w:rsidRDefault="002443C3" w:rsidP="002443C3">
      <w:pPr>
        <w:pStyle w:val="BodyTextIndent"/>
        <w:tabs>
          <w:tab w:val="clear" w:pos="720"/>
        </w:tabs>
        <w:spacing w:line="360" w:lineRule="auto"/>
        <w:ind w:firstLine="0"/>
      </w:pPr>
      <w:r w:rsidRPr="00DA14F2">
        <w:rPr>
          <w:noProof/>
          <w:position w:val="-30"/>
        </w:rPr>
        <w:object w:dxaOrig="3760" w:dyaOrig="700">
          <v:shape id="_x0000_i1029" type="#_x0000_t75" style="width:188.25pt;height:35.25pt" o:ole="" fillcolor="window">
            <v:imagedata r:id="rId17" o:title=""/>
          </v:shape>
          <o:OLEObject Type="Embed" ProgID="Equation.3" ShapeID="_x0000_i1029" DrawAspect="Content" ObjectID="_1355990207" r:id="rId18"/>
        </w:object>
      </w:r>
    </w:p>
    <w:p w:rsidR="002443C3" w:rsidRDefault="002443C3" w:rsidP="002443C3">
      <w:pPr>
        <w:pStyle w:val="BodyTextIndent"/>
        <w:tabs>
          <w:tab w:val="clear" w:pos="720"/>
        </w:tabs>
        <w:spacing w:line="360" w:lineRule="auto"/>
        <w:ind w:firstLine="0"/>
      </w:pPr>
      <w:r>
        <w:rPr>
          <w:noProof/>
          <w:position w:val="-28"/>
        </w:rPr>
        <w:object w:dxaOrig="6780" w:dyaOrig="680">
          <v:shape id="_x0000_i1030" type="#_x0000_t75" style="width:339pt;height:33.75pt" o:ole="" fillcolor="window">
            <v:imagedata r:id="rId19" o:title=""/>
          </v:shape>
          <o:OLEObject Type="Embed" ProgID="Equation.3" ShapeID="_x0000_i1030" DrawAspect="Content" ObjectID="_1355990208" r:id="rId20"/>
        </w:object>
      </w:r>
    </w:p>
    <w:p w:rsidR="002443C3" w:rsidRDefault="002443C3" w:rsidP="002443C3">
      <w:pPr>
        <w:pStyle w:val="BodyTextIndent"/>
        <w:tabs>
          <w:tab w:val="clear" w:pos="720"/>
        </w:tabs>
        <w:spacing w:line="360" w:lineRule="auto"/>
        <w:ind w:firstLine="0"/>
      </w:pPr>
      <w:r>
        <w:rPr>
          <w:noProof/>
          <w:position w:val="-28"/>
        </w:rPr>
        <w:object w:dxaOrig="8160" w:dyaOrig="680">
          <v:shape id="_x0000_i1031" type="#_x0000_t75" style="width:408pt;height:33.75pt" o:ole="" fillcolor="window">
            <v:imagedata r:id="rId21" o:title=""/>
          </v:shape>
          <o:OLEObject Type="Embed" ProgID="Equation.3" ShapeID="_x0000_i1031" DrawAspect="Content" ObjectID="_1355990209" r:id="rId22"/>
        </w:object>
      </w:r>
    </w:p>
    <w:p w:rsidR="002443C3" w:rsidRDefault="002443C3" w:rsidP="002443C3">
      <w:pPr>
        <w:pStyle w:val="BodyTextIndent"/>
        <w:tabs>
          <w:tab w:val="clear" w:pos="720"/>
        </w:tabs>
        <w:spacing w:after="100"/>
        <w:ind w:firstLine="0"/>
      </w:pPr>
      <w:r>
        <w:t>At a capitalization rate of 10%, Stock C is the most valuable.</w:t>
      </w:r>
    </w:p>
    <w:p w:rsidR="002443C3" w:rsidRDefault="002443C3" w:rsidP="002443C3">
      <w:pPr>
        <w:pStyle w:val="BodyTextIndent"/>
        <w:tabs>
          <w:tab w:val="clear" w:pos="720"/>
        </w:tabs>
        <w:spacing w:after="100"/>
        <w:ind w:firstLine="0"/>
      </w:pPr>
      <w:r>
        <w:t>For a capitalization rate of 7%, the calculations are similar.</w:t>
      </w:r>
    </w:p>
    <w:p w:rsidR="002443C3" w:rsidRDefault="002443C3" w:rsidP="002443C3">
      <w:pPr>
        <w:pStyle w:val="BodyTextIndent"/>
        <w:tabs>
          <w:tab w:val="clear" w:pos="720"/>
        </w:tabs>
        <w:spacing w:after="100"/>
        <w:ind w:firstLine="0"/>
      </w:pPr>
      <w:r>
        <w:t>The results are:</w:t>
      </w:r>
    </w:p>
    <w:p w:rsidR="002443C3" w:rsidRDefault="002443C3" w:rsidP="002443C3">
      <w:pPr>
        <w:pStyle w:val="BodyTextIndent"/>
        <w:tabs>
          <w:tab w:val="clear" w:pos="720"/>
        </w:tabs>
        <w:ind w:left="1440" w:firstLine="0"/>
      </w:pPr>
      <w:r>
        <w:t>P</w:t>
      </w:r>
      <w:r>
        <w:rPr>
          <w:vertAlign w:val="subscript"/>
        </w:rPr>
        <w:t>A</w:t>
      </w:r>
      <w:r>
        <w:t xml:space="preserve"> = $142.86</w:t>
      </w:r>
    </w:p>
    <w:p w:rsidR="002443C3" w:rsidRDefault="002443C3" w:rsidP="002443C3">
      <w:pPr>
        <w:pStyle w:val="BodyTextIndent"/>
        <w:tabs>
          <w:tab w:val="clear" w:pos="720"/>
        </w:tabs>
        <w:ind w:left="1440" w:firstLine="0"/>
      </w:pPr>
      <w:r>
        <w:t>P</w:t>
      </w:r>
      <w:r>
        <w:rPr>
          <w:vertAlign w:val="subscript"/>
        </w:rPr>
        <w:t>B</w:t>
      </w:r>
      <w:r>
        <w:t xml:space="preserve"> = $166.67</w:t>
      </w:r>
    </w:p>
    <w:p w:rsidR="002443C3" w:rsidRDefault="002443C3" w:rsidP="002443C3">
      <w:pPr>
        <w:pStyle w:val="BodyTextIndent"/>
        <w:tabs>
          <w:tab w:val="clear" w:pos="720"/>
        </w:tabs>
        <w:spacing w:after="120"/>
        <w:ind w:left="1440" w:firstLine="0"/>
      </w:pPr>
      <w:r>
        <w:t>P</w:t>
      </w:r>
      <w:r>
        <w:rPr>
          <w:vertAlign w:val="subscript"/>
        </w:rPr>
        <w:t>C</w:t>
      </w:r>
      <w:r>
        <w:t xml:space="preserve"> = $156.48</w:t>
      </w:r>
    </w:p>
    <w:p w:rsidR="002443C3" w:rsidRDefault="002443C3" w:rsidP="002443C3">
      <w:pPr>
        <w:pStyle w:val="BodyTextIndent"/>
        <w:tabs>
          <w:tab w:val="clear" w:pos="720"/>
        </w:tabs>
        <w:ind w:firstLine="0"/>
      </w:pPr>
      <w:r>
        <w:t>Therefore, Stock B is the most valuable.</w:t>
      </w:r>
    </w:p>
    <w:p w:rsidR="002443C3" w:rsidRDefault="002443C3" w:rsidP="002443C3">
      <w:pPr>
        <w:pStyle w:val="BodyTextIndent"/>
        <w:tabs>
          <w:tab w:val="clear" w:pos="720"/>
        </w:tabs>
        <w:ind w:firstLine="0"/>
      </w:pPr>
    </w:p>
    <w:p w:rsidR="002443C3" w:rsidRDefault="002443C3" w:rsidP="002443C3">
      <w:pPr>
        <w:pStyle w:val="BodyTextIndent"/>
        <w:tabs>
          <w:tab w:val="clear" w:pos="720"/>
        </w:tabs>
        <w:ind w:firstLine="0"/>
      </w:pPr>
    </w:p>
    <w:p w:rsidR="002443C3" w:rsidRDefault="002443C3" w:rsidP="002443C3">
      <w:pPr>
        <w:pStyle w:val="BodyTextIndent"/>
        <w:tabs>
          <w:tab w:val="left" w:pos="720"/>
        </w:tabs>
        <w:ind w:left="1440" w:hanging="1440"/>
      </w:pPr>
      <w:r>
        <w:t>17.</w:t>
      </w:r>
      <w:r>
        <w:tab/>
        <w:t>a.</w:t>
      </w:r>
      <w:r>
        <w:tab/>
      </w:r>
      <w:r w:rsidRPr="00DA14F2">
        <w:rPr>
          <w:noProof/>
          <w:position w:val="-30"/>
        </w:rPr>
        <w:object w:dxaOrig="5620" w:dyaOrig="700">
          <v:shape id="_x0000_i1032" type="#_x0000_t75" style="width:281.25pt;height:35.25pt" o:ole="" fillcolor="window">
            <v:imagedata r:id="rId23" o:title=""/>
          </v:shape>
          <o:OLEObject Type="Embed" ProgID="Equation.3" ShapeID="_x0000_i1032" DrawAspect="Content" ObjectID="_1355990210" r:id="rId24"/>
        </w:object>
      </w:r>
    </w:p>
    <w:p w:rsidR="002443C3" w:rsidRDefault="002443C3" w:rsidP="002443C3">
      <w:pPr>
        <w:pStyle w:val="BodyTextIndent"/>
        <w:tabs>
          <w:tab w:val="clear" w:pos="720"/>
        </w:tabs>
        <w:ind w:left="0" w:firstLine="0"/>
      </w:pPr>
      <w:r>
        <w:br w:type="page"/>
      </w:r>
    </w:p>
    <w:p w:rsidR="002443C3" w:rsidRDefault="002443C3" w:rsidP="002443C3">
      <w:pPr>
        <w:pStyle w:val="BodyTextIndent"/>
        <w:tabs>
          <w:tab w:val="clear" w:pos="720"/>
        </w:tabs>
        <w:spacing w:after="120"/>
        <w:ind w:left="1440"/>
      </w:pPr>
      <w:r>
        <w:t>b.</w:t>
      </w:r>
      <w:r>
        <w:tab/>
        <w:t>First, compute the real discount rate as follows:</w:t>
      </w:r>
    </w:p>
    <w:p w:rsidR="002443C3" w:rsidRDefault="002443C3" w:rsidP="002443C3">
      <w:pPr>
        <w:pStyle w:val="BodyTextIndent"/>
        <w:tabs>
          <w:tab w:val="clear" w:pos="720"/>
        </w:tabs>
        <w:spacing w:after="120"/>
        <w:ind w:left="2160" w:firstLine="0"/>
      </w:pPr>
      <w:r>
        <w:t>(1 + r</w:t>
      </w:r>
      <w:r>
        <w:rPr>
          <w:vertAlign w:val="subscript"/>
        </w:rPr>
        <w:t>nominal</w:t>
      </w:r>
      <w:r>
        <w:t>) = (1 + r</w:t>
      </w:r>
      <w:r>
        <w:rPr>
          <w:vertAlign w:val="subscript"/>
        </w:rPr>
        <w:t>real</w:t>
      </w:r>
      <w:r>
        <w:t xml:space="preserve">) </w:t>
      </w:r>
      <w:r>
        <w:sym w:font="Symbol" w:char="F0B4"/>
      </w:r>
      <w:r>
        <w:t xml:space="preserve"> (1 + inflation rate)</w:t>
      </w:r>
    </w:p>
    <w:p w:rsidR="002443C3" w:rsidRDefault="002443C3" w:rsidP="002443C3">
      <w:pPr>
        <w:pStyle w:val="BodyTextIndent"/>
        <w:tabs>
          <w:tab w:val="clear" w:pos="720"/>
        </w:tabs>
        <w:spacing w:after="120"/>
        <w:ind w:left="2160" w:firstLine="0"/>
      </w:pPr>
      <w:r>
        <w:t>1.095 = (1 + r</w:t>
      </w:r>
      <w:r>
        <w:rPr>
          <w:vertAlign w:val="subscript"/>
        </w:rPr>
        <w:t>real</w:t>
      </w:r>
      <w:r>
        <w:t xml:space="preserve">) </w:t>
      </w:r>
      <w:r>
        <w:sym w:font="Symbol" w:char="F0B4"/>
      </w:r>
      <w:r>
        <w:t xml:space="preserve"> 1.0275</w:t>
      </w:r>
    </w:p>
    <w:p w:rsidR="002443C3" w:rsidRDefault="002443C3" w:rsidP="002443C3">
      <w:pPr>
        <w:pStyle w:val="BodyTextIndent"/>
        <w:tabs>
          <w:tab w:val="clear" w:pos="720"/>
        </w:tabs>
        <w:spacing w:after="120"/>
        <w:ind w:left="2160" w:firstLine="0"/>
      </w:pPr>
      <w:r>
        <w:t>(1 + r</w:t>
      </w:r>
      <w:r>
        <w:rPr>
          <w:vertAlign w:val="subscript"/>
        </w:rPr>
        <w:t>real</w:t>
      </w:r>
      <w:r>
        <w:t>) = (1.095/1.0275) – 1 = .0657 = 6.57%</w:t>
      </w:r>
    </w:p>
    <w:p w:rsidR="002443C3" w:rsidRDefault="002443C3" w:rsidP="002443C3">
      <w:pPr>
        <w:pStyle w:val="BodyTextIndent"/>
        <w:tabs>
          <w:tab w:val="clear" w:pos="720"/>
        </w:tabs>
        <w:spacing w:after="120"/>
        <w:ind w:left="1440" w:firstLine="0"/>
      </w:pPr>
      <w:r>
        <w:t>In real terms, g = 0.  Therefore:</w:t>
      </w:r>
    </w:p>
    <w:p w:rsidR="002443C3" w:rsidRDefault="002443C3" w:rsidP="002443C3">
      <w:pPr>
        <w:pStyle w:val="BodyTextIndent"/>
        <w:tabs>
          <w:tab w:val="clear" w:pos="720"/>
        </w:tabs>
        <w:ind w:left="2160" w:firstLine="0"/>
      </w:pPr>
      <w:r w:rsidRPr="00DA14F2">
        <w:rPr>
          <w:noProof/>
          <w:position w:val="-30"/>
        </w:rPr>
        <w:object w:dxaOrig="4760" w:dyaOrig="700">
          <v:shape id="_x0000_i1033" type="#_x0000_t75" style="width:237.75pt;height:35.25pt" o:ole="" fillcolor="window">
            <v:imagedata r:id="rId25" o:title=""/>
          </v:shape>
          <o:OLEObject Type="Embed" ProgID="Equation.3" ShapeID="_x0000_i1033" DrawAspect="Content" ObjectID="_1355990211" r:id="rId26"/>
        </w:objec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pPr>
    </w:p>
    <w:p w:rsidR="002443C3" w:rsidRDefault="002443C3" w:rsidP="002443C3">
      <w:pPr>
        <w:pStyle w:val="BodyTextIndent"/>
        <w:tabs>
          <w:tab w:val="left" w:pos="720"/>
        </w:tabs>
        <w:spacing w:after="120"/>
        <w:ind w:left="1440" w:hanging="1440"/>
      </w:pPr>
      <w:r>
        <w:t>18.</w:t>
      </w:r>
      <w:r>
        <w:tab/>
        <w:t>a.</w:t>
      </w:r>
      <w:r>
        <w:tab/>
        <w:t>Plowback ratio = 1 – payout ratio = 1.0 – 0.5 = 0.5</w:t>
      </w:r>
    </w:p>
    <w:p w:rsidR="002443C3" w:rsidRDefault="002443C3" w:rsidP="002443C3">
      <w:pPr>
        <w:pStyle w:val="BodyTextIndent"/>
        <w:tabs>
          <w:tab w:val="clear" w:pos="720"/>
        </w:tabs>
        <w:spacing w:after="120"/>
        <w:ind w:left="1440" w:firstLine="0"/>
      </w:pPr>
      <w:r>
        <w:t xml:space="preserve">Dividend growth rate = g= Plowback ratio </w:t>
      </w:r>
      <w:r>
        <w:rPr>
          <w:rFonts w:cs="Arial"/>
        </w:rPr>
        <w:t>×</w:t>
      </w:r>
      <w:r>
        <w:t xml:space="preserve"> ROE = 0.5 </w:t>
      </w:r>
      <w:r>
        <w:rPr>
          <w:rFonts w:cs="Arial"/>
        </w:rPr>
        <w:t>×</w:t>
      </w:r>
      <w:r>
        <w:t xml:space="preserve"> 0.14 = 0.07</w:t>
      </w:r>
    </w:p>
    <w:p w:rsidR="002443C3" w:rsidRDefault="002443C3" w:rsidP="002443C3">
      <w:pPr>
        <w:pStyle w:val="BodyTextIndent"/>
        <w:tabs>
          <w:tab w:val="clear" w:pos="720"/>
        </w:tabs>
        <w:spacing w:after="120"/>
        <w:ind w:left="1440" w:firstLine="0"/>
      </w:pPr>
      <w:r>
        <w:t>Next, compute EPS</w:t>
      </w:r>
      <w:r>
        <w:rPr>
          <w:szCs w:val="24"/>
          <w:vertAlign w:val="subscript"/>
        </w:rPr>
        <w:t>0</w:t>
      </w:r>
      <w:r>
        <w:t xml:space="preserve"> as follows:</w:t>
      </w:r>
    </w:p>
    <w:p w:rsidR="002443C3" w:rsidRDefault="002443C3" w:rsidP="002443C3">
      <w:pPr>
        <w:pStyle w:val="BodyTextIndent"/>
        <w:tabs>
          <w:tab w:val="clear" w:pos="720"/>
        </w:tabs>
        <w:spacing w:after="120"/>
        <w:ind w:left="2160" w:firstLine="0"/>
      </w:pPr>
      <w:r>
        <w:t>ROE = EPS</w:t>
      </w:r>
      <w:r>
        <w:rPr>
          <w:szCs w:val="24"/>
          <w:vertAlign w:val="subscript"/>
        </w:rPr>
        <w:t>0</w:t>
      </w:r>
      <w:r>
        <w:t xml:space="preserve"> /Book equity per share</w:t>
      </w:r>
    </w:p>
    <w:p w:rsidR="002443C3" w:rsidRDefault="002443C3" w:rsidP="002443C3">
      <w:pPr>
        <w:pStyle w:val="BodyTextIndent"/>
        <w:tabs>
          <w:tab w:val="clear" w:pos="720"/>
        </w:tabs>
        <w:spacing w:after="120"/>
        <w:ind w:left="2160" w:firstLine="0"/>
        <w:rPr>
          <w:szCs w:val="24"/>
        </w:rPr>
      </w:pPr>
      <w:r>
        <w:t>0.14 = EPS</w:t>
      </w:r>
      <w:r>
        <w:rPr>
          <w:szCs w:val="24"/>
          <w:vertAlign w:val="subscript"/>
        </w:rPr>
        <w:t>0</w:t>
      </w:r>
      <w:r>
        <w:t xml:space="preserve"> /$50 </w:t>
      </w:r>
      <w:r>
        <w:sym w:font="Symbol" w:char="F0DE"/>
      </w:r>
      <w:r>
        <w:t xml:space="preserve"> EPS</w:t>
      </w:r>
      <w:r>
        <w:rPr>
          <w:szCs w:val="24"/>
          <w:vertAlign w:val="subscript"/>
        </w:rPr>
        <w:t>0</w:t>
      </w:r>
      <w:r>
        <w:rPr>
          <w:szCs w:val="24"/>
        </w:rPr>
        <w:t xml:space="preserve"> = $7.00</w:t>
      </w:r>
    </w:p>
    <w:p w:rsidR="002443C3" w:rsidRPr="00575712" w:rsidRDefault="002443C3" w:rsidP="002443C3">
      <w:pPr>
        <w:pStyle w:val="BodyTextIndent"/>
        <w:tabs>
          <w:tab w:val="clear" w:pos="720"/>
        </w:tabs>
        <w:spacing w:after="120"/>
        <w:ind w:left="1440" w:firstLine="0"/>
      </w:pPr>
      <w:r>
        <w:rPr>
          <w:szCs w:val="24"/>
        </w:rPr>
        <w:t>Therefore: DIV</w:t>
      </w:r>
      <w:r>
        <w:rPr>
          <w:szCs w:val="24"/>
          <w:vertAlign w:val="subscript"/>
        </w:rPr>
        <w:t>0</w:t>
      </w:r>
      <w:r>
        <w:rPr>
          <w:szCs w:val="24"/>
        </w:rPr>
        <w:t xml:space="preserve"> = payout ratio </w:t>
      </w:r>
      <w:r>
        <w:rPr>
          <w:rFonts w:cs="Arial"/>
          <w:szCs w:val="24"/>
        </w:rPr>
        <w:t>×</w:t>
      </w:r>
      <w:r>
        <w:rPr>
          <w:szCs w:val="24"/>
        </w:rPr>
        <w:t xml:space="preserve"> </w:t>
      </w:r>
      <w:r>
        <w:t>EPS</w:t>
      </w:r>
      <w:r>
        <w:rPr>
          <w:szCs w:val="24"/>
          <w:vertAlign w:val="subscript"/>
        </w:rPr>
        <w:t>0</w:t>
      </w:r>
      <w:r>
        <w:rPr>
          <w:szCs w:val="24"/>
        </w:rPr>
        <w:t xml:space="preserve"> = 0.5 </w:t>
      </w:r>
      <w:r>
        <w:rPr>
          <w:rFonts w:cs="Arial"/>
          <w:szCs w:val="24"/>
        </w:rPr>
        <w:t>×</w:t>
      </w:r>
      <w:r>
        <w:rPr>
          <w:szCs w:val="24"/>
        </w:rPr>
        <w:t xml:space="preserve"> $7.00 = $3.50</w:t>
      </w:r>
    </w:p>
    <w:p w:rsidR="002443C3" w:rsidRDefault="002443C3" w:rsidP="002443C3">
      <w:pPr>
        <w:pStyle w:val="BodyTextIndent"/>
        <w:tabs>
          <w:tab w:val="clear" w:pos="720"/>
        </w:tabs>
        <w:spacing w:after="120"/>
        <w:ind w:left="1440" w:firstLine="0"/>
      </w:pPr>
      <w:r>
        <w:t>EPS and dividends for subsequent years are:</w:t>
      </w:r>
    </w:p>
    <w:tbl>
      <w:tblPr>
        <w:tblW w:w="9180" w:type="dxa"/>
        <w:tblInd w:w="738" w:type="dxa"/>
        <w:tblLook w:val="0000"/>
      </w:tblPr>
      <w:tblGrid>
        <w:gridCol w:w="630"/>
        <w:gridCol w:w="3420"/>
        <w:gridCol w:w="5130"/>
      </w:tblGrid>
      <w:tr w:rsidR="002443C3" w:rsidRPr="00D24D5E" w:rsidTr="002443C3">
        <w:tblPrEx>
          <w:tblCellMar>
            <w:top w:w="0" w:type="dxa"/>
            <w:bottom w:w="0" w:type="dxa"/>
          </w:tblCellMar>
        </w:tblPrEx>
        <w:tc>
          <w:tcPr>
            <w:tcW w:w="630" w:type="dxa"/>
            <w:tcBorders>
              <w:bottom w:val="single" w:sz="4" w:space="0" w:color="auto"/>
            </w:tcBorders>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Year</w:t>
            </w:r>
          </w:p>
        </w:tc>
        <w:tc>
          <w:tcPr>
            <w:tcW w:w="3420" w:type="dxa"/>
            <w:tcBorders>
              <w:bottom w:val="single" w:sz="4" w:space="0" w:color="auto"/>
            </w:tcBorders>
          </w:tcPr>
          <w:p w:rsidR="002443C3" w:rsidRPr="00D24D5E" w:rsidRDefault="002443C3" w:rsidP="002443C3">
            <w:pPr>
              <w:pStyle w:val="BodyTextIndent"/>
              <w:tabs>
                <w:tab w:val="clear" w:pos="720"/>
              </w:tabs>
              <w:ind w:left="0" w:firstLine="0"/>
              <w:rPr>
                <w:sz w:val="22"/>
                <w:szCs w:val="22"/>
              </w:rPr>
            </w:pPr>
            <w:r w:rsidRPr="00D24D5E">
              <w:rPr>
                <w:sz w:val="22"/>
                <w:szCs w:val="22"/>
              </w:rPr>
              <w:t>EPS</w:t>
            </w:r>
          </w:p>
        </w:tc>
        <w:tc>
          <w:tcPr>
            <w:tcW w:w="5130" w:type="dxa"/>
            <w:tcBorders>
              <w:bottom w:val="single" w:sz="4" w:space="0" w:color="auto"/>
            </w:tcBorders>
          </w:tcPr>
          <w:p w:rsidR="002443C3" w:rsidRPr="00D24D5E" w:rsidRDefault="002443C3" w:rsidP="002443C3">
            <w:pPr>
              <w:pStyle w:val="BodyTextIndent"/>
              <w:tabs>
                <w:tab w:val="clear" w:pos="720"/>
              </w:tabs>
              <w:ind w:left="0" w:firstLine="0"/>
              <w:rPr>
                <w:sz w:val="22"/>
                <w:szCs w:val="22"/>
              </w:rPr>
            </w:pPr>
            <w:r w:rsidRPr="00D24D5E">
              <w:rPr>
                <w:sz w:val="22"/>
                <w:szCs w:val="22"/>
              </w:rPr>
              <w:t>DIV</w:t>
            </w:r>
          </w:p>
        </w:tc>
      </w:tr>
      <w:tr w:rsidR="002443C3" w:rsidRPr="00D24D5E" w:rsidTr="002443C3">
        <w:tblPrEx>
          <w:tblCellMar>
            <w:top w:w="0" w:type="dxa"/>
            <w:bottom w:w="0" w:type="dxa"/>
          </w:tblCellMar>
        </w:tblPrEx>
        <w:tc>
          <w:tcPr>
            <w:tcW w:w="630" w:type="dxa"/>
            <w:tcBorders>
              <w:top w:val="single" w:sz="4" w:space="0" w:color="auto"/>
            </w:tcBorders>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0</w:t>
            </w:r>
          </w:p>
        </w:tc>
        <w:tc>
          <w:tcPr>
            <w:tcW w:w="3420" w:type="dxa"/>
            <w:tcBorders>
              <w:top w:val="single" w:sz="4" w:space="0" w:color="auto"/>
            </w:tcBorders>
          </w:tcPr>
          <w:p w:rsidR="002443C3" w:rsidRPr="00D24D5E" w:rsidRDefault="002443C3" w:rsidP="002443C3">
            <w:pPr>
              <w:pStyle w:val="BodyTextIndent"/>
              <w:tabs>
                <w:tab w:val="clear" w:pos="720"/>
              </w:tabs>
              <w:ind w:left="0" w:firstLine="0"/>
              <w:rPr>
                <w:sz w:val="22"/>
                <w:szCs w:val="22"/>
              </w:rPr>
            </w:pPr>
            <w:r w:rsidRPr="00D24D5E">
              <w:rPr>
                <w:sz w:val="22"/>
                <w:szCs w:val="22"/>
              </w:rPr>
              <w:t>$7.00</w:t>
            </w:r>
          </w:p>
        </w:tc>
        <w:tc>
          <w:tcPr>
            <w:tcW w:w="5130" w:type="dxa"/>
            <w:tcBorders>
              <w:top w:val="single" w:sz="4" w:space="0" w:color="auto"/>
            </w:tcBorders>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0.5 = $3.50</w:t>
            </w:r>
          </w:p>
        </w:tc>
      </w:tr>
      <w:tr w:rsidR="002443C3" w:rsidRPr="00D24D5E" w:rsidTr="002443C3">
        <w:tblPrEx>
          <w:tblCellMar>
            <w:top w:w="0" w:type="dxa"/>
            <w:bottom w:w="0" w:type="dxa"/>
          </w:tblCellMar>
        </w:tblPrEx>
        <w:tc>
          <w:tcPr>
            <w:tcW w:w="630" w:type="dxa"/>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1</w:t>
            </w:r>
          </w:p>
        </w:tc>
        <w:tc>
          <w:tcPr>
            <w:tcW w:w="342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1.07 = $7.4900 </w:t>
            </w:r>
          </w:p>
        </w:tc>
        <w:tc>
          <w:tcPr>
            <w:tcW w:w="513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$7.4900 </w:t>
            </w:r>
            <w:r w:rsidRPr="00D24D5E">
              <w:rPr>
                <w:rFonts w:cs="Arial"/>
                <w:sz w:val="22"/>
                <w:szCs w:val="22"/>
              </w:rPr>
              <w:t>×</w:t>
            </w:r>
            <w:r w:rsidRPr="00D24D5E">
              <w:rPr>
                <w:sz w:val="22"/>
                <w:szCs w:val="22"/>
              </w:rPr>
              <w:t xml:space="preserve"> 0.5 = $3.50 </w:t>
            </w:r>
            <w:r w:rsidRPr="00D24D5E">
              <w:rPr>
                <w:rFonts w:cs="Arial"/>
                <w:sz w:val="22"/>
                <w:szCs w:val="22"/>
              </w:rPr>
              <w:t>×</w:t>
            </w:r>
            <w:r w:rsidRPr="00D24D5E">
              <w:rPr>
                <w:sz w:val="22"/>
                <w:szCs w:val="22"/>
              </w:rPr>
              <w:t xml:space="preserve"> 1.07 = </w:t>
            </w:r>
            <w:r>
              <w:rPr>
                <w:sz w:val="22"/>
                <w:szCs w:val="22"/>
              </w:rPr>
              <w:t>$3.7450</w:t>
            </w:r>
          </w:p>
        </w:tc>
      </w:tr>
      <w:tr w:rsidR="002443C3" w:rsidRPr="00D24D5E" w:rsidTr="002443C3">
        <w:tblPrEx>
          <w:tblCellMar>
            <w:top w:w="0" w:type="dxa"/>
            <w:bottom w:w="0" w:type="dxa"/>
          </w:tblCellMar>
        </w:tblPrEx>
        <w:tc>
          <w:tcPr>
            <w:tcW w:w="630" w:type="dxa"/>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2</w:t>
            </w:r>
          </w:p>
        </w:tc>
        <w:tc>
          <w:tcPr>
            <w:tcW w:w="342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1.07</w:t>
            </w:r>
            <w:r w:rsidRPr="00D24D5E">
              <w:rPr>
                <w:sz w:val="22"/>
                <w:szCs w:val="22"/>
                <w:vertAlign w:val="superscript"/>
              </w:rPr>
              <w:t>2</w:t>
            </w:r>
            <w:r w:rsidRPr="00D24D5E">
              <w:rPr>
                <w:sz w:val="22"/>
                <w:szCs w:val="22"/>
              </w:rPr>
              <w:t xml:space="preserve"> = $8.0143 </w:t>
            </w:r>
          </w:p>
        </w:tc>
        <w:tc>
          <w:tcPr>
            <w:tcW w:w="513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$8.0143 </w:t>
            </w:r>
            <w:r w:rsidRPr="00D24D5E">
              <w:rPr>
                <w:rFonts w:cs="Arial"/>
                <w:sz w:val="22"/>
                <w:szCs w:val="22"/>
              </w:rPr>
              <w:t>×</w:t>
            </w:r>
            <w:r w:rsidRPr="00D24D5E">
              <w:rPr>
                <w:sz w:val="22"/>
                <w:szCs w:val="22"/>
              </w:rPr>
              <w:t xml:space="preserve"> 0.5 = $3.50 </w:t>
            </w:r>
            <w:r w:rsidRPr="00D24D5E">
              <w:rPr>
                <w:rFonts w:cs="Arial"/>
                <w:sz w:val="22"/>
                <w:szCs w:val="22"/>
              </w:rPr>
              <w:t>×</w:t>
            </w:r>
            <w:r w:rsidRPr="00D24D5E">
              <w:rPr>
                <w:sz w:val="22"/>
                <w:szCs w:val="22"/>
              </w:rPr>
              <w:t xml:space="preserve"> 1.07</w:t>
            </w:r>
            <w:r>
              <w:rPr>
                <w:sz w:val="22"/>
                <w:szCs w:val="22"/>
                <w:vertAlign w:val="superscript"/>
              </w:rPr>
              <w:t>2</w:t>
            </w:r>
            <w:r w:rsidRPr="00D24D5E">
              <w:rPr>
                <w:sz w:val="22"/>
                <w:szCs w:val="22"/>
              </w:rPr>
              <w:t xml:space="preserve"> </w:t>
            </w:r>
            <w:r>
              <w:rPr>
                <w:sz w:val="22"/>
                <w:szCs w:val="22"/>
              </w:rPr>
              <w:t>=</w:t>
            </w:r>
            <w:r w:rsidRPr="00D24D5E">
              <w:rPr>
                <w:sz w:val="22"/>
                <w:szCs w:val="22"/>
              </w:rPr>
              <w:t xml:space="preserve"> </w:t>
            </w:r>
            <w:r>
              <w:rPr>
                <w:sz w:val="22"/>
                <w:szCs w:val="22"/>
              </w:rPr>
              <w:t>$4.0072</w:t>
            </w:r>
          </w:p>
        </w:tc>
      </w:tr>
      <w:tr w:rsidR="002443C3" w:rsidRPr="00D24D5E" w:rsidTr="002443C3">
        <w:tblPrEx>
          <w:tblCellMar>
            <w:top w:w="0" w:type="dxa"/>
            <w:bottom w:w="0" w:type="dxa"/>
          </w:tblCellMar>
        </w:tblPrEx>
        <w:tc>
          <w:tcPr>
            <w:tcW w:w="630" w:type="dxa"/>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3</w:t>
            </w:r>
          </w:p>
        </w:tc>
        <w:tc>
          <w:tcPr>
            <w:tcW w:w="342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1.07</w:t>
            </w:r>
            <w:r w:rsidRPr="00D24D5E">
              <w:rPr>
                <w:sz w:val="22"/>
                <w:szCs w:val="22"/>
                <w:vertAlign w:val="superscript"/>
              </w:rPr>
              <w:t>3</w:t>
            </w:r>
            <w:r w:rsidRPr="00D24D5E">
              <w:rPr>
                <w:sz w:val="22"/>
                <w:szCs w:val="22"/>
              </w:rPr>
              <w:t xml:space="preserve"> = $8.5753</w:t>
            </w:r>
          </w:p>
        </w:tc>
        <w:tc>
          <w:tcPr>
            <w:tcW w:w="513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$8.5753 </w:t>
            </w:r>
            <w:r w:rsidRPr="00D24D5E">
              <w:rPr>
                <w:rFonts w:cs="Arial"/>
                <w:sz w:val="22"/>
                <w:szCs w:val="22"/>
              </w:rPr>
              <w:t>×</w:t>
            </w:r>
            <w:r w:rsidRPr="00D24D5E">
              <w:rPr>
                <w:sz w:val="22"/>
                <w:szCs w:val="22"/>
              </w:rPr>
              <w:t xml:space="preserve"> 0.5 = $3.50 </w:t>
            </w:r>
            <w:r w:rsidRPr="00D24D5E">
              <w:rPr>
                <w:rFonts w:cs="Arial"/>
                <w:sz w:val="22"/>
                <w:szCs w:val="22"/>
              </w:rPr>
              <w:t>×</w:t>
            </w:r>
            <w:r w:rsidRPr="00D24D5E">
              <w:rPr>
                <w:sz w:val="22"/>
                <w:szCs w:val="22"/>
              </w:rPr>
              <w:t xml:space="preserve"> 1.07</w:t>
            </w:r>
            <w:r>
              <w:rPr>
                <w:sz w:val="22"/>
                <w:szCs w:val="22"/>
                <w:vertAlign w:val="superscript"/>
              </w:rPr>
              <w:t>3</w:t>
            </w:r>
            <w:r w:rsidRPr="00D24D5E">
              <w:rPr>
                <w:sz w:val="22"/>
                <w:szCs w:val="22"/>
              </w:rPr>
              <w:t xml:space="preserve"> </w:t>
            </w:r>
            <w:r>
              <w:rPr>
                <w:sz w:val="22"/>
                <w:szCs w:val="22"/>
              </w:rPr>
              <w:t>=</w:t>
            </w:r>
            <w:r w:rsidRPr="00D24D5E">
              <w:rPr>
                <w:sz w:val="22"/>
                <w:szCs w:val="22"/>
              </w:rPr>
              <w:t xml:space="preserve"> </w:t>
            </w:r>
            <w:r>
              <w:rPr>
                <w:sz w:val="22"/>
                <w:szCs w:val="22"/>
              </w:rPr>
              <w:t>$4.2877</w:t>
            </w:r>
          </w:p>
        </w:tc>
      </w:tr>
      <w:tr w:rsidR="002443C3" w:rsidRPr="00D24D5E" w:rsidTr="002443C3">
        <w:tblPrEx>
          <w:tblCellMar>
            <w:top w:w="0" w:type="dxa"/>
            <w:bottom w:w="0" w:type="dxa"/>
          </w:tblCellMar>
        </w:tblPrEx>
        <w:tc>
          <w:tcPr>
            <w:tcW w:w="630" w:type="dxa"/>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4</w:t>
            </w:r>
          </w:p>
        </w:tc>
        <w:tc>
          <w:tcPr>
            <w:tcW w:w="342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1.07</w:t>
            </w:r>
            <w:r w:rsidRPr="00D24D5E">
              <w:rPr>
                <w:sz w:val="22"/>
                <w:szCs w:val="22"/>
                <w:vertAlign w:val="superscript"/>
              </w:rPr>
              <w:t>4</w:t>
            </w:r>
            <w:r w:rsidRPr="00D24D5E">
              <w:rPr>
                <w:sz w:val="22"/>
                <w:szCs w:val="22"/>
              </w:rPr>
              <w:t xml:space="preserve"> = $9.1756</w:t>
            </w:r>
          </w:p>
        </w:tc>
        <w:tc>
          <w:tcPr>
            <w:tcW w:w="513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$9.1756 </w:t>
            </w:r>
            <w:r w:rsidRPr="00D24D5E">
              <w:rPr>
                <w:rFonts w:cs="Arial"/>
                <w:sz w:val="22"/>
                <w:szCs w:val="22"/>
              </w:rPr>
              <w:t>×</w:t>
            </w:r>
            <w:r w:rsidRPr="00D24D5E">
              <w:rPr>
                <w:sz w:val="22"/>
                <w:szCs w:val="22"/>
              </w:rPr>
              <w:t xml:space="preserve"> 0.5 = $3.50 </w:t>
            </w:r>
            <w:r w:rsidRPr="00D24D5E">
              <w:rPr>
                <w:rFonts w:cs="Arial"/>
                <w:sz w:val="22"/>
                <w:szCs w:val="22"/>
              </w:rPr>
              <w:t>×</w:t>
            </w:r>
            <w:r w:rsidRPr="00D24D5E">
              <w:rPr>
                <w:sz w:val="22"/>
                <w:szCs w:val="22"/>
              </w:rPr>
              <w:t xml:space="preserve"> 1.07</w:t>
            </w:r>
            <w:r>
              <w:rPr>
                <w:sz w:val="22"/>
                <w:szCs w:val="22"/>
                <w:vertAlign w:val="superscript"/>
              </w:rPr>
              <w:t>4</w:t>
            </w:r>
            <w:r w:rsidRPr="00D24D5E">
              <w:rPr>
                <w:sz w:val="22"/>
                <w:szCs w:val="22"/>
              </w:rPr>
              <w:t xml:space="preserve"> </w:t>
            </w:r>
            <w:r>
              <w:rPr>
                <w:sz w:val="22"/>
                <w:szCs w:val="22"/>
              </w:rPr>
              <w:t>=</w:t>
            </w:r>
            <w:r w:rsidRPr="00D24D5E">
              <w:rPr>
                <w:sz w:val="22"/>
                <w:szCs w:val="22"/>
              </w:rPr>
              <w:t xml:space="preserve"> </w:t>
            </w:r>
            <w:r>
              <w:rPr>
                <w:sz w:val="22"/>
                <w:szCs w:val="22"/>
              </w:rPr>
              <w:t>$4.5878</w:t>
            </w:r>
          </w:p>
        </w:tc>
      </w:tr>
      <w:tr w:rsidR="002443C3" w:rsidRPr="00D24D5E" w:rsidTr="002443C3">
        <w:tblPrEx>
          <w:tblCellMar>
            <w:top w:w="0" w:type="dxa"/>
            <w:bottom w:w="0" w:type="dxa"/>
          </w:tblCellMar>
        </w:tblPrEx>
        <w:tc>
          <w:tcPr>
            <w:tcW w:w="630" w:type="dxa"/>
          </w:tcPr>
          <w:p w:rsidR="002443C3" w:rsidRPr="00D24D5E" w:rsidRDefault="002443C3" w:rsidP="002443C3">
            <w:pPr>
              <w:pStyle w:val="BodyTextIndent"/>
              <w:tabs>
                <w:tab w:val="clear" w:pos="720"/>
              </w:tabs>
              <w:ind w:left="-108" w:right="-108" w:firstLine="0"/>
              <w:jc w:val="center"/>
              <w:rPr>
                <w:sz w:val="22"/>
                <w:szCs w:val="22"/>
              </w:rPr>
            </w:pPr>
            <w:r w:rsidRPr="00D24D5E">
              <w:rPr>
                <w:sz w:val="22"/>
                <w:szCs w:val="22"/>
              </w:rPr>
              <w:t>5</w:t>
            </w:r>
          </w:p>
        </w:tc>
        <w:tc>
          <w:tcPr>
            <w:tcW w:w="342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$7.00 </w:t>
            </w:r>
            <w:r w:rsidRPr="00D24D5E">
              <w:rPr>
                <w:rFonts w:cs="Arial"/>
                <w:sz w:val="22"/>
                <w:szCs w:val="22"/>
              </w:rPr>
              <w:t>×</w:t>
            </w:r>
            <w:r w:rsidRPr="00D24D5E">
              <w:rPr>
                <w:sz w:val="22"/>
                <w:szCs w:val="22"/>
              </w:rPr>
              <w:t xml:space="preserve"> 1.07</w:t>
            </w:r>
            <w:r w:rsidRPr="00D24D5E">
              <w:rPr>
                <w:sz w:val="22"/>
                <w:szCs w:val="22"/>
                <w:vertAlign w:val="superscript"/>
              </w:rPr>
              <w:t>4</w:t>
            </w:r>
            <w:r w:rsidRPr="00D24D5E">
              <w:rPr>
                <w:sz w:val="22"/>
                <w:szCs w:val="22"/>
              </w:rPr>
              <w:t xml:space="preserve"> </w:t>
            </w:r>
            <w:r w:rsidRPr="00D24D5E">
              <w:rPr>
                <w:rFonts w:cs="Arial"/>
                <w:sz w:val="22"/>
                <w:szCs w:val="22"/>
              </w:rPr>
              <w:t>×</w:t>
            </w:r>
            <w:r w:rsidRPr="00D24D5E">
              <w:rPr>
                <w:sz w:val="22"/>
                <w:szCs w:val="22"/>
              </w:rPr>
              <w:t xml:space="preserve"> 1.023 = $9.3866</w:t>
            </w:r>
          </w:p>
        </w:tc>
        <w:tc>
          <w:tcPr>
            <w:tcW w:w="5130" w:type="dxa"/>
          </w:tcPr>
          <w:p w:rsidR="002443C3" w:rsidRPr="00D24D5E" w:rsidRDefault="002443C3" w:rsidP="002443C3">
            <w:pPr>
              <w:pStyle w:val="BodyTextIndent"/>
              <w:tabs>
                <w:tab w:val="clear" w:pos="720"/>
              </w:tabs>
              <w:ind w:left="0" w:firstLine="0"/>
              <w:rPr>
                <w:sz w:val="22"/>
                <w:szCs w:val="22"/>
              </w:rPr>
            </w:pPr>
            <w:r w:rsidRPr="00D24D5E">
              <w:rPr>
                <w:sz w:val="22"/>
                <w:szCs w:val="22"/>
              </w:rPr>
              <w:t xml:space="preserve">$9.3866 </w:t>
            </w:r>
            <w:r w:rsidRPr="00D24D5E">
              <w:rPr>
                <w:rFonts w:cs="Arial"/>
                <w:sz w:val="22"/>
                <w:szCs w:val="22"/>
              </w:rPr>
              <w:t>×</w:t>
            </w:r>
            <w:r w:rsidRPr="00D24D5E">
              <w:rPr>
                <w:sz w:val="22"/>
                <w:szCs w:val="22"/>
              </w:rPr>
              <w:t xml:space="preserve"> 0.5 = $3.50 </w:t>
            </w:r>
            <w:r w:rsidRPr="00D24D5E">
              <w:rPr>
                <w:rFonts w:cs="Arial"/>
                <w:sz w:val="22"/>
                <w:szCs w:val="22"/>
              </w:rPr>
              <w:t>×</w:t>
            </w:r>
            <w:r w:rsidRPr="00D24D5E">
              <w:rPr>
                <w:sz w:val="22"/>
                <w:szCs w:val="22"/>
              </w:rPr>
              <w:t xml:space="preserve"> 1.07</w:t>
            </w:r>
            <w:r>
              <w:rPr>
                <w:sz w:val="22"/>
                <w:szCs w:val="22"/>
                <w:vertAlign w:val="superscript"/>
              </w:rPr>
              <w:t>4</w:t>
            </w:r>
            <w:r w:rsidRPr="00D24D5E">
              <w:rPr>
                <w:sz w:val="22"/>
                <w:szCs w:val="22"/>
              </w:rPr>
              <w:t xml:space="preserve"> </w:t>
            </w:r>
            <w:r>
              <w:rPr>
                <w:rFonts w:cs="Arial"/>
                <w:sz w:val="22"/>
                <w:szCs w:val="22"/>
              </w:rPr>
              <w:t>×</w:t>
            </w:r>
            <w:r>
              <w:rPr>
                <w:sz w:val="22"/>
                <w:szCs w:val="22"/>
              </w:rPr>
              <w:t xml:space="preserve"> </w:t>
            </w:r>
            <w:r w:rsidRPr="00D24D5E">
              <w:rPr>
                <w:sz w:val="22"/>
                <w:szCs w:val="22"/>
              </w:rPr>
              <w:t xml:space="preserve">1.023 = </w:t>
            </w:r>
            <w:r>
              <w:rPr>
                <w:sz w:val="22"/>
                <w:szCs w:val="22"/>
              </w:rPr>
              <w:t>$4.6933</w:t>
            </w:r>
          </w:p>
        </w:tc>
      </w:tr>
    </w:tbl>
    <w:p w:rsidR="002443C3" w:rsidRDefault="002443C3" w:rsidP="002443C3">
      <w:pPr>
        <w:pStyle w:val="BodyTextIndent"/>
        <w:tabs>
          <w:tab w:val="clear" w:pos="720"/>
        </w:tabs>
        <w:spacing w:before="120" w:after="120"/>
        <w:ind w:left="1440" w:firstLine="0"/>
      </w:pPr>
      <w:r>
        <w:t>EPS and dividends for year 5 and subsequent years grow at 2.3% per year, as indicated by the following calculation:</w:t>
      </w:r>
    </w:p>
    <w:p w:rsidR="002443C3" w:rsidRDefault="002443C3" w:rsidP="002443C3">
      <w:pPr>
        <w:pStyle w:val="BodyTextIndent"/>
        <w:tabs>
          <w:tab w:val="clear" w:pos="720"/>
        </w:tabs>
        <w:ind w:firstLine="0"/>
      </w:pPr>
      <w:r>
        <w:t xml:space="preserve">Dividend growth rate = g = Plowback ratio </w:t>
      </w:r>
      <w:r>
        <w:rPr>
          <w:rFonts w:cs="Arial"/>
        </w:rPr>
        <w:t>×</w:t>
      </w:r>
      <w:r>
        <w:t xml:space="preserve"> ROE = (1 – 0.08) </w:t>
      </w:r>
      <w:r>
        <w:rPr>
          <w:rFonts w:cs="Arial"/>
        </w:rPr>
        <w:t>×</w:t>
      </w:r>
      <w:r>
        <w:t xml:space="preserve"> 0.115 = 0.023</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spacing w:line="360" w:lineRule="auto"/>
        <w:ind w:left="1440"/>
      </w:pPr>
      <w:r>
        <w:t>b.</w:t>
      </w:r>
      <w:r>
        <w:tab/>
      </w:r>
      <w:r w:rsidRPr="00DB5163">
        <w:rPr>
          <w:noProof/>
          <w:position w:val="-30"/>
        </w:rPr>
        <w:object w:dxaOrig="6300" w:dyaOrig="720">
          <v:shape id="_x0000_i1034" type="#_x0000_t75" style="width:315pt;height:36pt" o:ole="" fillcolor="window">
            <v:imagedata r:id="rId27" o:title=""/>
          </v:shape>
          <o:OLEObject Type="Embed" ProgID="Equation.3" ShapeID="_x0000_i1034" DrawAspect="Content" ObjectID="_1355990212" r:id="rId28"/>
        </w:object>
      </w:r>
    </w:p>
    <w:p w:rsidR="002443C3" w:rsidRDefault="002443C3" w:rsidP="002443C3">
      <w:pPr>
        <w:pStyle w:val="BodyTextIndent"/>
        <w:tabs>
          <w:tab w:val="clear" w:pos="720"/>
        </w:tabs>
        <w:spacing w:after="120"/>
        <w:ind w:left="1440" w:firstLine="0"/>
        <w:rPr>
          <w:noProof/>
        </w:rPr>
      </w:pPr>
      <w:r w:rsidRPr="00EC5745">
        <w:rPr>
          <w:noProof/>
          <w:position w:val="-28"/>
        </w:rPr>
        <w:object w:dxaOrig="7660" w:dyaOrig="680">
          <v:shape id="_x0000_i1035" type="#_x0000_t75" style="width:383.25pt;height:33.75pt" o:ole="" fillcolor="window">
            <v:imagedata r:id="rId29" o:title=""/>
          </v:shape>
          <o:OLEObject Type="Embed" ProgID="Equation.3" ShapeID="_x0000_i1035" DrawAspect="Content" ObjectID="_1355990213" r:id="rId30"/>
        </w:object>
      </w:r>
    </w:p>
    <w:p w:rsidR="002443C3" w:rsidRDefault="002443C3" w:rsidP="002443C3">
      <w:pPr>
        <w:pStyle w:val="BodyTextIndent"/>
        <w:tabs>
          <w:tab w:val="clear" w:pos="720"/>
        </w:tabs>
        <w:spacing w:after="120"/>
        <w:ind w:left="1440" w:firstLine="0"/>
      </w:pPr>
      <w:r>
        <w:t>The last term in the above calculation is dependent on the payout ratio and the growth rate after year 4.</w:t>
      </w:r>
    </w:p>
    <w:p w:rsidR="002443C3" w:rsidRDefault="002443C3" w:rsidP="002443C3">
      <w:pPr>
        <w:pStyle w:val="BodyTextIndent"/>
        <w:tabs>
          <w:tab w:val="left" w:pos="720"/>
        </w:tabs>
        <w:ind w:left="1440" w:hanging="1440"/>
      </w:pPr>
    </w:p>
    <w:p w:rsidR="002443C3" w:rsidRDefault="002443C3" w:rsidP="002443C3">
      <w:pPr>
        <w:pStyle w:val="BodyTextIndent"/>
        <w:tabs>
          <w:tab w:val="left" w:pos="720"/>
        </w:tabs>
        <w:ind w:left="1440" w:hanging="1440"/>
        <w:rPr>
          <w:noProof/>
        </w:rPr>
      </w:pPr>
      <w:r>
        <w:t>19.</w:t>
      </w:r>
      <w:r>
        <w:tab/>
        <w:t>a.</w:t>
      </w:r>
      <w:r>
        <w:tab/>
      </w:r>
      <w:r w:rsidRPr="00DA14F2">
        <w:rPr>
          <w:noProof/>
          <w:position w:val="-30"/>
        </w:rPr>
        <w:object w:dxaOrig="4840" w:dyaOrig="700">
          <v:shape id="_x0000_i1036" type="#_x0000_t75" style="width:242.25pt;height:35.25pt" o:ole="" fillcolor="window">
            <v:imagedata r:id="rId31" o:title=""/>
          </v:shape>
          <o:OLEObject Type="Embed" ProgID="Equation.3" ShapeID="_x0000_i1036" DrawAspect="Content" ObjectID="_1355990214" r:id="rId32"/>
        </w:object>
      </w:r>
    </w:p>
    <w:p w:rsidR="002443C3" w:rsidRDefault="002443C3" w:rsidP="002443C3">
      <w:pPr>
        <w:pStyle w:val="BodyTextIndent"/>
        <w:tabs>
          <w:tab w:val="clear" w:pos="720"/>
        </w:tabs>
        <w:ind w:left="0" w:firstLine="0"/>
        <w:rPr>
          <w:noProof/>
        </w:rPr>
      </w:pPr>
      <w:r>
        <w:rPr>
          <w:noProof/>
        </w:rPr>
        <w:br w:type="page"/>
      </w:r>
    </w:p>
    <w:p w:rsidR="002443C3" w:rsidRDefault="002443C3" w:rsidP="002443C3">
      <w:pPr>
        <w:pStyle w:val="BodyTextIndent"/>
        <w:tabs>
          <w:tab w:val="clear" w:pos="720"/>
        </w:tabs>
        <w:ind w:left="1440"/>
        <w:rPr>
          <w:noProof/>
        </w:rPr>
      </w:pPr>
      <w:r>
        <w:rPr>
          <w:noProof/>
        </w:rPr>
        <w:t>b.</w:t>
      </w:r>
      <w:r>
        <w:rPr>
          <w:noProof/>
        </w:rPr>
        <w:tab/>
        <w:t xml:space="preserve">g = Plowback ratio </w:t>
      </w:r>
      <w:r>
        <w:rPr>
          <w:rFonts w:cs="Arial"/>
          <w:noProof/>
        </w:rPr>
        <w:t>×</w:t>
      </w:r>
      <w:r>
        <w:rPr>
          <w:noProof/>
        </w:rPr>
        <w:t xml:space="preserve"> ROE = (1 </w:t>
      </w:r>
      <w:r>
        <w:rPr>
          <w:rFonts w:cs="Arial"/>
          <w:noProof/>
        </w:rPr>
        <w:t>−</w:t>
      </w:r>
      <w:r>
        <w:rPr>
          <w:noProof/>
        </w:rPr>
        <w:t xml:space="preserve"> 0.5) </w:t>
      </w:r>
      <w:r>
        <w:rPr>
          <w:rFonts w:cs="Arial"/>
          <w:noProof/>
        </w:rPr>
        <w:t>×</w:t>
      </w:r>
      <w:r>
        <w:rPr>
          <w:noProof/>
        </w:rPr>
        <w:t xml:space="preserve"> 0.12 = 0.06 = 6.0%</w:t>
      </w:r>
    </w:p>
    <w:p w:rsidR="002443C3" w:rsidRDefault="002443C3" w:rsidP="002443C3">
      <w:pPr>
        <w:pStyle w:val="BodyTextIndent"/>
        <w:tabs>
          <w:tab w:val="clear" w:pos="720"/>
        </w:tabs>
        <w:spacing w:after="120"/>
        <w:ind w:left="1440" w:right="630" w:firstLine="0"/>
      </w:pPr>
      <w:r>
        <w:t>The stated payout ratio and ROE are inconsistent with the security analysts’ forecasts.  With g = 6.0% (and assuming r remains at 11.75%) then:</w:t>
      </w:r>
    </w:p>
    <w:p w:rsidR="002443C3" w:rsidRDefault="002443C3" w:rsidP="002443C3">
      <w:pPr>
        <w:pStyle w:val="BodyTextIndent"/>
        <w:tabs>
          <w:tab w:val="clear" w:pos="720"/>
        </w:tabs>
        <w:ind w:left="2160" w:firstLine="0"/>
      </w:pPr>
      <w:r w:rsidRPr="00DA14F2">
        <w:rPr>
          <w:noProof/>
          <w:position w:val="-30"/>
        </w:rPr>
        <w:object w:dxaOrig="4520" w:dyaOrig="700">
          <v:shape id="_x0000_i1037" type="#_x0000_t75" style="width:225.75pt;height:35.25pt" o:ole="" fillcolor="window">
            <v:imagedata r:id="rId33" o:title=""/>
          </v:shape>
          <o:OLEObject Type="Embed" ProgID="Equation.3" ShapeID="_x0000_i1037" DrawAspect="Content" ObjectID="_1355990215" r:id="rId34"/>
        </w:objec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ind w:left="0" w:firstLine="0"/>
      </w:pPr>
    </w:p>
    <w:p w:rsidR="002443C3" w:rsidRDefault="002443C3" w:rsidP="002443C3">
      <w:pPr>
        <w:pStyle w:val="BodyTextIndent"/>
        <w:tabs>
          <w:tab w:val="left" w:pos="720"/>
        </w:tabs>
      </w:pPr>
      <w:r>
        <w:t>20.</w:t>
      </w:r>
      <w:r>
        <w:tab/>
        <w:t>The security analyst’s forecast is wrong because it assumes a perpetual constant growth rate of 15% when, in fact, growth will continue for two years at this rate and then there will be no further growth in EPS or dividends. The value of the company’s stock is the present value of the expected dividend of $2.30 to be paid in 2020 plus the present value of the perpetuity of $2.65 beginning in 2021.  Therefore, the actual expected rate of return is the solution for r in the following equation:</w:t>
      </w:r>
    </w:p>
    <w:p w:rsidR="002443C3" w:rsidRDefault="002443C3" w:rsidP="002443C3">
      <w:pPr>
        <w:pStyle w:val="BodyTextIndent"/>
        <w:tabs>
          <w:tab w:val="clear" w:pos="720"/>
        </w:tabs>
        <w:ind w:left="1440" w:firstLine="0"/>
      </w:pPr>
      <w:r w:rsidRPr="005008D6">
        <w:rPr>
          <w:noProof/>
          <w:position w:val="-28"/>
        </w:rPr>
        <w:object w:dxaOrig="2640" w:dyaOrig="660">
          <v:shape id="_x0000_i1038" type="#_x0000_t75" style="width:132pt;height:33pt" o:ole="" fillcolor="window">
            <v:imagedata r:id="rId35" o:title=""/>
          </v:shape>
          <o:OLEObject Type="Embed" ProgID="Equation.3" ShapeID="_x0000_i1038" DrawAspect="Content" ObjectID="_1355990216" r:id="rId36"/>
        </w:object>
      </w:r>
    </w:p>
    <w:p w:rsidR="002443C3" w:rsidRDefault="002443C3" w:rsidP="002443C3">
      <w:pPr>
        <w:pStyle w:val="BodyTextIndent"/>
        <w:tabs>
          <w:tab w:val="clear" w:pos="720"/>
        </w:tabs>
        <w:ind w:right="450" w:firstLine="0"/>
      </w:pPr>
      <w:r>
        <w:t>Solving algebraically (using the quadratic formula) or by trial and error, we find that: r = 0.1201= 12.01%</w:t>
      </w:r>
    </w:p>
    <w:p w:rsidR="002443C3" w:rsidRDefault="002443C3" w:rsidP="002443C3">
      <w:pPr>
        <w:pStyle w:val="BodyTextIndent"/>
        <w:tabs>
          <w:tab w:val="clear" w:pos="720"/>
        </w:tabs>
      </w:pPr>
    </w:p>
    <w:p w:rsidR="002443C3" w:rsidRDefault="002443C3" w:rsidP="002443C3">
      <w:pPr>
        <w:pStyle w:val="BodyTextIndent"/>
        <w:tabs>
          <w:tab w:val="clear" w:pos="720"/>
        </w:tabs>
      </w:pPr>
    </w:p>
    <w:p w:rsidR="002443C3" w:rsidRDefault="002443C3" w:rsidP="002443C3">
      <w:pPr>
        <w:pStyle w:val="BodyTextIndent"/>
        <w:tabs>
          <w:tab w:val="left" w:pos="720"/>
        </w:tabs>
        <w:spacing w:after="120"/>
        <w:ind w:left="1440" w:hanging="1440"/>
      </w:pPr>
      <w:r>
        <w:t>21.</w:t>
      </w:r>
      <w:r>
        <w:tab/>
        <w:t>a.</w:t>
      </w:r>
      <w:r>
        <w:tab/>
      </w:r>
      <w:r>
        <w:rPr>
          <w:u w:val="single"/>
        </w:rPr>
        <w:t>An Incorrect Application</w:t>
      </w:r>
      <w:r>
        <w:t>.  Hotshot Semiconductor’s earnings and dividends have grown by 30 percent per year since the firm’s founding ten years ago.  Current stock price is $100, and next year’s dividend is projected at $1.25.  Thus:</w:t>
      </w:r>
    </w:p>
    <w:p w:rsidR="002443C3" w:rsidRDefault="002443C3" w:rsidP="002443C3">
      <w:pPr>
        <w:pStyle w:val="BodyTextIndent"/>
        <w:tabs>
          <w:tab w:val="clear" w:pos="720"/>
        </w:tabs>
        <w:spacing w:line="360" w:lineRule="auto"/>
        <w:ind w:left="2160" w:firstLine="0"/>
      </w:pPr>
      <w:r w:rsidRPr="000A6BA8">
        <w:rPr>
          <w:noProof/>
          <w:position w:val="-30"/>
        </w:rPr>
        <w:object w:dxaOrig="4980" w:dyaOrig="700">
          <v:shape id="_x0000_i1039" type="#_x0000_t75" style="width:249pt;height:35.25pt" o:ole="" fillcolor="window">
            <v:imagedata r:id="rId37" o:title=""/>
          </v:shape>
          <o:OLEObject Type="Embed" ProgID="Equation.3" ShapeID="_x0000_i1039" DrawAspect="Content" ObjectID="_1355990217" r:id="rId38"/>
        </w:object>
      </w:r>
    </w:p>
    <w:p w:rsidR="002443C3" w:rsidRDefault="002443C3" w:rsidP="002443C3">
      <w:pPr>
        <w:pStyle w:val="BodyTextIndent"/>
        <w:tabs>
          <w:tab w:val="clear" w:pos="720"/>
        </w:tabs>
        <w:ind w:left="1440" w:firstLine="0"/>
      </w:pPr>
      <w:r>
        <w:t xml:space="preserve">This is </w:t>
      </w:r>
      <w:r>
        <w:rPr>
          <w:i/>
        </w:rPr>
        <w:t>wrong</w:t>
      </w:r>
      <w:r>
        <w:t xml:space="preserve"> because the formula assumes perpetual growth; it is not possible for Hotshot to grow at 30 percent per year forever.</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spacing w:after="120"/>
        <w:ind w:left="1440" w:firstLine="0"/>
      </w:pPr>
      <w:r>
        <w:rPr>
          <w:u w:val="single"/>
        </w:rPr>
        <w:t>A Correct Application</w:t>
      </w:r>
      <w:r>
        <w:t>.  The formula might be correctly applied to the Old Faithful Railroad, which has been growing at a steady 5 percent rate for decades.  Its EPS</w:t>
      </w:r>
      <w:r>
        <w:rPr>
          <w:vertAlign w:val="subscript"/>
        </w:rPr>
        <w:t>1</w:t>
      </w:r>
      <w:r>
        <w:t> = $10, DIV</w:t>
      </w:r>
      <w:r>
        <w:rPr>
          <w:vertAlign w:val="subscript"/>
        </w:rPr>
        <w:t>1</w:t>
      </w:r>
      <w:r>
        <w:t xml:space="preserve"> = $5, and P</w:t>
      </w:r>
      <w:r>
        <w:rPr>
          <w:vertAlign w:val="subscript"/>
        </w:rPr>
        <w:t>0</w:t>
      </w:r>
      <w:r>
        <w:t xml:space="preserve"> = $100.  Thus:</w:t>
      </w:r>
    </w:p>
    <w:p w:rsidR="002443C3" w:rsidRDefault="002443C3" w:rsidP="002443C3">
      <w:pPr>
        <w:pStyle w:val="BodyTextIndent"/>
        <w:tabs>
          <w:tab w:val="clear" w:pos="720"/>
        </w:tabs>
        <w:spacing w:line="360" w:lineRule="auto"/>
        <w:ind w:left="2160" w:firstLine="0"/>
      </w:pPr>
      <w:r>
        <w:rPr>
          <w:noProof/>
          <w:position w:val="-30"/>
        </w:rPr>
        <w:object w:dxaOrig="4360" w:dyaOrig="680">
          <v:shape id="_x0000_i1040" type="#_x0000_t75" style="width:218.25pt;height:33.75pt" o:ole="" fillcolor="window">
            <v:imagedata r:id="rId39" o:title=""/>
          </v:shape>
          <o:OLEObject Type="Embed" ProgID="Equation.3" ShapeID="_x0000_i1040" DrawAspect="Content" ObjectID="_1355990218" r:id="rId40"/>
        </w:object>
      </w:r>
    </w:p>
    <w:p w:rsidR="002443C3" w:rsidRDefault="002443C3" w:rsidP="002443C3">
      <w:pPr>
        <w:pStyle w:val="BodyTextIndent"/>
        <w:tabs>
          <w:tab w:val="clear" w:pos="720"/>
        </w:tabs>
        <w:ind w:left="1440" w:firstLine="0"/>
      </w:pPr>
      <w:r>
        <w:t xml:space="preserve">Even here, you should be careful not to blindly project past growth into the future.  If </w:t>
      </w:r>
      <w:smartTag w:uri="urn:schemas-microsoft-com:office:smarttags" w:element="place">
        <w:r>
          <w:t>Old Faithful</w:t>
        </w:r>
      </w:smartTag>
      <w:r>
        <w:t xml:space="preserve"> hauls coal, an energy crisis could turn it into a growth stock.</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spacing w:after="120"/>
        <w:ind w:left="1440"/>
      </w:pPr>
      <w:r w:rsidRPr="006C0977">
        <w:t>b.</w:t>
      </w:r>
      <w:r w:rsidRPr="006C0977">
        <w:tab/>
      </w:r>
      <w:r>
        <w:rPr>
          <w:u w:val="single"/>
        </w:rPr>
        <w:t>An Incorrect Application</w:t>
      </w:r>
      <w:r>
        <w:t>.  Hotshot has current earnings of $5.00 per share.  Thus:</w:t>
      </w:r>
    </w:p>
    <w:p w:rsidR="002443C3" w:rsidRDefault="002443C3" w:rsidP="002443C3">
      <w:pPr>
        <w:pStyle w:val="BodyTextIndent"/>
        <w:tabs>
          <w:tab w:val="clear" w:pos="720"/>
        </w:tabs>
        <w:spacing w:line="360" w:lineRule="auto"/>
        <w:ind w:left="2160" w:firstLine="0"/>
        <w:rPr>
          <w:u w:val="single"/>
        </w:rPr>
      </w:pPr>
      <w:r>
        <w:rPr>
          <w:noProof/>
        </w:rPr>
        <w:br w:type="page"/>
      </w:r>
      <w:r>
        <w:rPr>
          <w:noProof/>
          <w:position w:val="-30"/>
        </w:rPr>
        <w:object w:dxaOrig="3080" w:dyaOrig="680">
          <v:shape id="_x0000_i1041" type="#_x0000_t75" style="width:153.75pt;height:33.75pt" o:ole="" fillcolor="window">
            <v:imagedata r:id="rId41" o:title=""/>
          </v:shape>
          <o:OLEObject Type="Embed" ProgID="Equation.3" ShapeID="_x0000_i1041" DrawAspect="Content" ObjectID="_1355990219" r:id="rId42"/>
        </w:object>
      </w:r>
    </w:p>
    <w:p w:rsidR="002443C3" w:rsidRDefault="002443C3" w:rsidP="002443C3">
      <w:pPr>
        <w:pStyle w:val="BodyTextIndent"/>
        <w:tabs>
          <w:tab w:val="clear" w:pos="720"/>
        </w:tabs>
        <w:spacing w:after="120"/>
        <w:ind w:left="1440" w:firstLine="0"/>
      </w:pPr>
      <w:r>
        <w:t>This is too low to be realistic.  The reason P</w:t>
      </w:r>
      <w:r>
        <w:rPr>
          <w:vertAlign w:val="subscript"/>
        </w:rPr>
        <w:t>0</w:t>
      </w:r>
      <w:r>
        <w:t xml:space="preserve"> is so high relative to earnings is not that r is low, but rather that Hotshot is endowed with valuable growth opportunities.  Suppose PVGO = $60:</w:t>
      </w:r>
    </w:p>
    <w:p w:rsidR="002443C3" w:rsidRDefault="002443C3" w:rsidP="002443C3">
      <w:pPr>
        <w:pStyle w:val="BodyTextIndent"/>
        <w:tabs>
          <w:tab w:val="clear" w:pos="720"/>
        </w:tabs>
        <w:spacing w:line="360" w:lineRule="auto"/>
        <w:ind w:left="2160" w:firstLine="0"/>
      </w:pPr>
      <w:r>
        <w:rPr>
          <w:noProof/>
          <w:position w:val="-24"/>
        </w:rPr>
        <w:object w:dxaOrig="1939" w:dyaOrig="620">
          <v:shape id="_x0000_i1042" type="#_x0000_t75" style="width:96.75pt;height:30.75pt" o:ole="" fillcolor="window">
            <v:imagedata r:id="rId43" o:title=""/>
          </v:shape>
          <o:OLEObject Type="Embed" ProgID="Equation.3" ShapeID="_x0000_i1042" DrawAspect="Content" ObjectID="_1355990220" r:id="rId44"/>
        </w:object>
      </w:r>
    </w:p>
    <w:p w:rsidR="002443C3" w:rsidRDefault="002443C3" w:rsidP="002443C3">
      <w:pPr>
        <w:pStyle w:val="BodyTextIndent"/>
        <w:tabs>
          <w:tab w:val="clear" w:pos="720"/>
        </w:tabs>
        <w:spacing w:line="360" w:lineRule="auto"/>
        <w:ind w:left="2160" w:firstLine="0"/>
      </w:pPr>
      <w:r>
        <w:rPr>
          <w:noProof/>
          <w:position w:val="-24"/>
        </w:rPr>
        <w:object w:dxaOrig="1340" w:dyaOrig="620">
          <v:shape id="_x0000_i1043" type="#_x0000_t75" style="width:66.75pt;height:30.75pt" o:ole="" fillcolor="window">
            <v:imagedata r:id="rId45" o:title=""/>
          </v:shape>
          <o:OLEObject Type="Embed" ProgID="Equation.3" ShapeID="_x0000_i1043" DrawAspect="Content" ObjectID="_1355990221" r:id="rId46"/>
        </w:object>
      </w:r>
    </w:p>
    <w:p w:rsidR="002443C3" w:rsidRDefault="002443C3" w:rsidP="002443C3">
      <w:pPr>
        <w:pStyle w:val="BodyTextIndent"/>
        <w:tabs>
          <w:tab w:val="clear" w:pos="720"/>
        </w:tabs>
        <w:spacing w:line="360" w:lineRule="auto"/>
        <w:ind w:left="1440" w:firstLine="0"/>
      </w:pPr>
      <w:r>
        <w:t>Therefore, r = 12.5%</w:t>
      </w:r>
    </w:p>
    <w:p w:rsidR="002443C3" w:rsidRDefault="002443C3" w:rsidP="002443C3">
      <w:pPr>
        <w:pStyle w:val="BodyTextIndent"/>
        <w:tabs>
          <w:tab w:val="clear" w:pos="720"/>
        </w:tabs>
        <w:spacing w:after="120"/>
        <w:ind w:left="1440" w:firstLine="0"/>
      </w:pPr>
      <w:r>
        <w:rPr>
          <w:u w:val="single"/>
        </w:rPr>
        <w:t>A Correct Application</w:t>
      </w:r>
      <w:r>
        <w:t xml:space="preserve">.  Unfortunately, </w:t>
      </w:r>
      <w:smartTag w:uri="urn:schemas-microsoft-com:office:smarttags" w:element="place">
        <w:r>
          <w:t>Old Faithful</w:t>
        </w:r>
      </w:smartTag>
      <w:r>
        <w:t xml:space="preserve"> has run out of valuable growth opportunities.  Since PVGO = 0:</w:t>
      </w:r>
    </w:p>
    <w:p w:rsidR="002443C3" w:rsidRDefault="002443C3" w:rsidP="002443C3">
      <w:pPr>
        <w:pStyle w:val="BodyTextIndent"/>
        <w:tabs>
          <w:tab w:val="clear" w:pos="720"/>
        </w:tabs>
        <w:spacing w:line="360" w:lineRule="auto"/>
        <w:ind w:left="2160" w:firstLine="0"/>
      </w:pPr>
      <w:r>
        <w:rPr>
          <w:noProof/>
          <w:position w:val="-24"/>
        </w:rPr>
        <w:object w:dxaOrig="1939" w:dyaOrig="620">
          <v:shape id="_x0000_i1044" type="#_x0000_t75" style="width:96.75pt;height:30.75pt" o:ole="" fillcolor="window">
            <v:imagedata r:id="rId47" o:title=""/>
          </v:shape>
          <o:OLEObject Type="Embed" ProgID="Equation.3" ShapeID="_x0000_i1044" DrawAspect="Content" ObjectID="_1355990222" r:id="rId48"/>
        </w:object>
      </w:r>
    </w:p>
    <w:p w:rsidR="002443C3" w:rsidRDefault="002443C3" w:rsidP="002443C3">
      <w:pPr>
        <w:pStyle w:val="BodyTextIndent"/>
        <w:tabs>
          <w:tab w:val="clear" w:pos="720"/>
        </w:tabs>
        <w:spacing w:line="360" w:lineRule="auto"/>
        <w:ind w:left="2160" w:firstLine="0"/>
      </w:pPr>
      <w:r>
        <w:rPr>
          <w:noProof/>
          <w:position w:val="-24"/>
        </w:rPr>
        <w:object w:dxaOrig="1240" w:dyaOrig="620">
          <v:shape id="_x0000_i1045" type="#_x0000_t75" style="width:62.25pt;height:30.75pt" o:ole="" fillcolor="window">
            <v:imagedata r:id="rId49" o:title=""/>
          </v:shape>
          <o:OLEObject Type="Embed" ProgID="Equation.3" ShapeID="_x0000_i1045" DrawAspect="Content" ObjectID="_1355990223" r:id="rId50"/>
        </w:object>
      </w:r>
    </w:p>
    <w:p w:rsidR="002443C3" w:rsidRDefault="002443C3" w:rsidP="002443C3">
      <w:pPr>
        <w:pStyle w:val="BodyTextIndent"/>
        <w:tabs>
          <w:tab w:val="clear" w:pos="720"/>
        </w:tabs>
        <w:ind w:left="1440" w:firstLine="0"/>
      </w:pPr>
      <w:r>
        <w:t>Therefore, r = 10.0%</w:t>
      </w:r>
    </w:p>
    <w:p w:rsidR="002443C3" w:rsidRDefault="002443C3" w:rsidP="002443C3">
      <w:pPr>
        <w:pStyle w:val="BodyTextIndent"/>
        <w:tabs>
          <w:tab w:val="clear" w:pos="720"/>
        </w:tabs>
      </w:pPr>
    </w:p>
    <w:p w:rsidR="002443C3" w:rsidRDefault="002443C3" w:rsidP="002443C3">
      <w:pPr>
        <w:pStyle w:val="BodyTextIndent"/>
        <w:tabs>
          <w:tab w:val="clear" w:pos="720"/>
        </w:tabs>
      </w:pPr>
    </w:p>
    <w:p w:rsidR="002443C3" w:rsidRDefault="002443C3" w:rsidP="002443C3">
      <w:pPr>
        <w:pStyle w:val="BodyTextIndent"/>
        <w:tabs>
          <w:tab w:val="clear" w:pos="720"/>
        </w:tabs>
        <w:spacing w:line="360" w:lineRule="auto"/>
      </w:pPr>
      <w:r>
        <w:rPr>
          <w:noProof/>
        </w:rPr>
        <w:t>22.</w:t>
      </w:r>
      <w:r>
        <w:rPr>
          <w:noProof/>
        </w:rPr>
        <w:tab/>
      </w:r>
      <w:r>
        <w:rPr>
          <w:noProof/>
          <w:position w:val="-30"/>
        </w:rPr>
        <w:object w:dxaOrig="2920" w:dyaOrig="680">
          <v:shape id="_x0000_i1046" type="#_x0000_t75" style="width:146.25pt;height:33.75pt" o:ole="" fillcolor="window">
            <v:imagedata r:id="rId51" o:title=""/>
          </v:shape>
          <o:OLEObject Type="Embed" ProgID="Equation.3" ShapeID="_x0000_i1046" DrawAspect="Content" ObjectID="_1355990224" r:id="rId52"/>
        </w:object>
      </w:r>
    </w:p>
    <w:p w:rsidR="002443C3" w:rsidRDefault="002443C3" w:rsidP="002443C3">
      <w:pPr>
        <w:pStyle w:val="BodyTextIndent"/>
        <w:tabs>
          <w:tab w:val="clear" w:pos="720"/>
        </w:tabs>
        <w:spacing w:line="360" w:lineRule="auto"/>
        <w:ind w:firstLine="0"/>
      </w:pPr>
      <w:r>
        <w:t>Therefore:</w:t>
      </w:r>
    </w:p>
    <w:p w:rsidR="002443C3" w:rsidRDefault="002443C3" w:rsidP="002443C3">
      <w:pPr>
        <w:pStyle w:val="BodyTextIndent"/>
        <w:tabs>
          <w:tab w:val="clear" w:pos="720"/>
        </w:tabs>
        <w:spacing w:line="360" w:lineRule="auto"/>
        <w:ind w:left="1440" w:firstLine="0"/>
      </w:pPr>
      <w:r>
        <w:rPr>
          <w:noProof/>
          <w:position w:val="-30"/>
        </w:rPr>
        <w:object w:dxaOrig="2580" w:dyaOrig="720">
          <v:shape id="_x0000_i1047" type="#_x0000_t75" style="width:129pt;height:36pt" o:ole="" fillcolor="window">
            <v:imagedata r:id="rId53" o:title=""/>
          </v:shape>
          <o:OLEObject Type="Embed" ProgID="Equation.3" ShapeID="_x0000_i1047" DrawAspect="Content" ObjectID="_1355990225" r:id="rId54"/>
        </w:object>
      </w:r>
    </w:p>
    <w:p w:rsidR="002443C3" w:rsidRDefault="002443C3" w:rsidP="002443C3">
      <w:pPr>
        <w:pStyle w:val="BodyTextIndent"/>
        <w:tabs>
          <w:tab w:val="clear" w:pos="720"/>
        </w:tabs>
        <w:spacing w:line="360" w:lineRule="auto"/>
        <w:ind w:left="1440" w:firstLine="0"/>
      </w:pPr>
      <w:r>
        <w:rPr>
          <w:noProof/>
          <w:position w:val="-32"/>
        </w:rPr>
        <w:object w:dxaOrig="2540" w:dyaOrig="740">
          <v:shape id="_x0000_i1048" type="#_x0000_t75" style="width:126.75pt;height:36.75pt" o:ole="" fillcolor="window">
            <v:imagedata r:id="rId55" o:title=""/>
          </v:shape>
          <o:OLEObject Type="Embed" ProgID="Equation.3" ShapeID="_x0000_i1048" DrawAspect="Content" ObjectID="_1355990226" r:id="rId56"/>
        </w:object>
      </w:r>
    </w:p>
    <w:p w:rsidR="002443C3" w:rsidRDefault="002443C3" w:rsidP="002443C3">
      <w:pPr>
        <w:pStyle w:val="BodyTextIndent"/>
        <w:tabs>
          <w:tab w:val="clear" w:pos="720"/>
        </w:tabs>
        <w:spacing w:line="360" w:lineRule="auto"/>
        <w:ind w:firstLine="0"/>
      </w:pPr>
      <w:r>
        <w:t>The statement in the question implies the following:</w:t>
      </w:r>
    </w:p>
    <w:p w:rsidR="002443C3" w:rsidRDefault="002443C3" w:rsidP="002443C3">
      <w:pPr>
        <w:pStyle w:val="BodyTextIndent"/>
        <w:tabs>
          <w:tab w:val="clear" w:pos="720"/>
        </w:tabs>
        <w:spacing w:line="360" w:lineRule="auto"/>
        <w:ind w:firstLine="0"/>
      </w:pPr>
      <w:r>
        <w:rPr>
          <w:noProof/>
          <w:position w:val="-34"/>
        </w:rPr>
        <w:object w:dxaOrig="7260" w:dyaOrig="800">
          <v:shape id="_x0000_i1049" type="#_x0000_t75" style="width:363pt;height:39.75pt" o:ole="" fillcolor="window">
            <v:imagedata r:id="rId57" o:title=""/>
          </v:shape>
          <o:OLEObject Type="Embed" ProgID="Equation.3" ShapeID="_x0000_i1049" DrawAspect="Content" ObjectID="_1355990227" r:id="rId58"/>
        </w:object>
      </w:r>
    </w:p>
    <w:p w:rsidR="002443C3" w:rsidRDefault="002443C3" w:rsidP="002443C3">
      <w:pPr>
        <w:pStyle w:val="BodyTextIndent"/>
        <w:tabs>
          <w:tab w:val="clear" w:pos="720"/>
        </w:tabs>
        <w:spacing w:line="360" w:lineRule="auto"/>
        <w:ind w:firstLine="0"/>
      </w:pPr>
      <w:r>
        <w:t>Rearranging, we have:</w:t>
      </w:r>
    </w:p>
    <w:p w:rsidR="002443C3" w:rsidRDefault="002443C3" w:rsidP="002443C3">
      <w:pPr>
        <w:pStyle w:val="BodyTextIndent"/>
        <w:tabs>
          <w:tab w:val="clear" w:pos="720"/>
        </w:tabs>
        <w:spacing w:line="360" w:lineRule="auto"/>
        <w:ind w:firstLine="0"/>
      </w:pPr>
      <w:r w:rsidRPr="008848DE">
        <w:rPr>
          <w:noProof/>
          <w:position w:val="-32"/>
        </w:rPr>
        <w:object w:dxaOrig="4160" w:dyaOrig="740">
          <v:shape id="_x0000_i1050" type="#_x0000_t75" style="width:207.75pt;height:36.75pt" o:ole="" fillcolor="window">
            <v:imagedata r:id="rId59" o:title=""/>
          </v:shape>
          <o:OLEObject Type="Embed" ProgID="Equation.3" ShapeID="_x0000_i1050" DrawAspect="Content" ObjectID="_1355990228" r:id="rId60"/>
        </w:object>
      </w:r>
    </w:p>
    <w:p w:rsidR="002443C3" w:rsidRDefault="002443C3" w:rsidP="002443C3">
      <w:pPr>
        <w:pStyle w:val="BodyTextIndent"/>
        <w:numPr>
          <w:ilvl w:val="0"/>
          <w:numId w:val="1"/>
        </w:numPr>
        <w:tabs>
          <w:tab w:val="clear" w:pos="720"/>
          <w:tab w:val="clear" w:pos="1440"/>
        </w:tabs>
        <w:spacing w:line="360" w:lineRule="auto"/>
      </w:pPr>
      <w:r>
        <w:t>NPV</w:t>
      </w:r>
      <w:r>
        <w:rPr>
          <w:vertAlign w:val="subscript"/>
        </w:rPr>
        <w:sym w:font="Symbol" w:char="F061"/>
      </w:r>
      <w:r>
        <w:t xml:space="preserve"> &lt; NPV</w:t>
      </w:r>
      <w:r>
        <w:rPr>
          <w:vertAlign w:val="subscript"/>
        </w:rPr>
        <w:sym w:font="Symbol" w:char="F062"/>
      </w:r>
      <w:r>
        <w:t>, everything else equal.</w:t>
      </w:r>
    </w:p>
    <w:p w:rsidR="002443C3" w:rsidRDefault="002443C3" w:rsidP="002443C3">
      <w:pPr>
        <w:pStyle w:val="BodyTextIndent"/>
        <w:numPr>
          <w:ilvl w:val="0"/>
          <w:numId w:val="1"/>
        </w:numPr>
        <w:tabs>
          <w:tab w:val="clear" w:pos="720"/>
          <w:tab w:val="clear" w:pos="1440"/>
        </w:tabs>
        <w:spacing w:line="360" w:lineRule="auto"/>
      </w:pPr>
      <w:r>
        <w:br w:type="page"/>
      </w:r>
      <w:r>
        <w:lastRenderedPageBreak/>
        <w:t>(r</w:t>
      </w:r>
      <w:r>
        <w:rPr>
          <w:vertAlign w:val="subscript"/>
        </w:rPr>
        <w:sym w:font="Symbol" w:char="F061"/>
      </w:r>
      <w:r>
        <w:t xml:space="preserve"> - 0.15) &gt; (r</w:t>
      </w:r>
      <w:r>
        <w:rPr>
          <w:vertAlign w:val="subscript"/>
        </w:rPr>
        <w:sym w:font="Symbol" w:char="F062"/>
      </w:r>
      <w:r>
        <w:t xml:space="preserve"> - 0.08), everything else equal.</w:t>
      </w:r>
    </w:p>
    <w:p w:rsidR="002443C3" w:rsidRDefault="002443C3" w:rsidP="002443C3">
      <w:pPr>
        <w:pStyle w:val="BodyTextIndent"/>
        <w:numPr>
          <w:ilvl w:val="0"/>
          <w:numId w:val="5"/>
        </w:numPr>
        <w:tabs>
          <w:tab w:val="clear" w:pos="720"/>
          <w:tab w:val="clear" w:pos="2520"/>
        </w:tabs>
        <w:spacing w:line="360" w:lineRule="auto"/>
        <w:ind w:left="1440"/>
      </w:pPr>
      <w:r>
        <w:rPr>
          <w:noProof/>
          <w:position w:val="-32"/>
        </w:rPr>
        <w:object w:dxaOrig="2380" w:dyaOrig="740">
          <v:shape id="_x0000_i1051" type="#_x0000_t75" style="width:119.25pt;height:36.75pt" o:ole="" fillcolor="window">
            <v:imagedata r:id="rId61" o:title=""/>
          </v:shape>
          <o:OLEObject Type="Embed" ProgID="Equation.3" ShapeID="_x0000_i1051" DrawAspect="Content" ObjectID="_1355990229" r:id="rId62"/>
        </w:object>
      </w:r>
      <w:r>
        <w:rPr>
          <w:noProof/>
        </w:rPr>
        <w:t>, everything else equal.</w:t>
      </w:r>
    </w:p>
    <w:p w:rsidR="002443C3" w:rsidRDefault="002443C3" w:rsidP="002443C3">
      <w:pPr>
        <w:pStyle w:val="BodyTextIndent"/>
        <w:numPr>
          <w:ilvl w:val="0"/>
          <w:numId w:val="5"/>
        </w:numPr>
        <w:tabs>
          <w:tab w:val="clear" w:pos="720"/>
          <w:tab w:val="clear" w:pos="2520"/>
        </w:tabs>
        <w:ind w:left="1440"/>
      </w:pPr>
      <w:r>
        <w:rPr>
          <w:noProof/>
          <w:position w:val="-32"/>
        </w:rPr>
        <w:object w:dxaOrig="1719" w:dyaOrig="740">
          <v:shape id="_x0000_i1052" type="#_x0000_t75" style="width:86.25pt;height:36.75pt" o:ole="" fillcolor="window">
            <v:imagedata r:id="rId63" o:title=""/>
          </v:shape>
          <o:OLEObject Type="Embed" ProgID="Equation.3" ShapeID="_x0000_i1052" DrawAspect="Content" ObjectID="_1355990230" r:id="rId64"/>
        </w:object>
      </w:r>
      <w:r>
        <w:rPr>
          <w:noProof/>
        </w:rPr>
        <w:t xml:space="preserve">, </w:t>
      </w:r>
      <w:r>
        <w:t>everything else equal.</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ind w:left="0" w:firstLine="0"/>
      </w:pPr>
    </w:p>
    <w:p w:rsidR="002443C3" w:rsidRDefault="002443C3" w:rsidP="002443C3">
      <w:pPr>
        <w:pStyle w:val="BodyTextIndent"/>
        <w:tabs>
          <w:tab w:val="left" w:pos="720"/>
        </w:tabs>
        <w:spacing w:line="360" w:lineRule="auto"/>
        <w:ind w:left="1440" w:hanging="1440"/>
      </w:pPr>
      <w:r>
        <w:t>23.</w:t>
      </w:r>
      <w:r>
        <w:tab/>
        <w:t>a.</w:t>
      </w:r>
      <w:r>
        <w:tab/>
        <w:t>Growth-Tech’s stock price should be:</w:t>
      </w:r>
    </w:p>
    <w:p w:rsidR="002443C3" w:rsidRDefault="002443C3" w:rsidP="002443C3">
      <w:pPr>
        <w:pStyle w:val="BodyTextIndent"/>
        <w:tabs>
          <w:tab w:val="clear" w:pos="720"/>
        </w:tabs>
        <w:ind w:left="2160" w:firstLine="0"/>
        <w:rPr>
          <w:noProof/>
        </w:rPr>
      </w:pPr>
      <w:r w:rsidRPr="009B7532">
        <w:rPr>
          <w:noProof/>
          <w:position w:val="-32"/>
        </w:rPr>
        <w:object w:dxaOrig="6740" w:dyaOrig="760">
          <v:shape id="_x0000_i1053" type="#_x0000_t75" style="width:336.75pt;height:38.25pt" o:ole="" fillcolor="window">
            <v:imagedata r:id="rId65" o:title=""/>
          </v:shape>
          <o:OLEObject Type="Embed" ProgID="Equation.3" ShapeID="_x0000_i1053" DrawAspect="Content" ObjectID="_1355990231" r:id="rId66"/>
        </w:object>
      </w:r>
    </w:p>
    <w:p w:rsidR="002443C3" w:rsidRDefault="002443C3" w:rsidP="002443C3">
      <w:pPr>
        <w:pStyle w:val="BodyTextIndent"/>
        <w:tabs>
          <w:tab w:val="clear" w:pos="720"/>
        </w:tabs>
        <w:ind w:left="0" w:firstLine="0"/>
      </w:pPr>
    </w:p>
    <w:p w:rsidR="002443C3" w:rsidRDefault="002443C3" w:rsidP="002443C3">
      <w:pPr>
        <w:pStyle w:val="BodyTextIndent"/>
        <w:numPr>
          <w:ilvl w:val="0"/>
          <w:numId w:val="2"/>
        </w:numPr>
        <w:tabs>
          <w:tab w:val="clear" w:pos="720"/>
          <w:tab w:val="clear" w:pos="1440"/>
        </w:tabs>
        <w:spacing w:line="360" w:lineRule="auto"/>
      </w:pPr>
      <w:r>
        <w:t>The horizon value contributes:</w:t>
      </w:r>
    </w:p>
    <w:p w:rsidR="002443C3" w:rsidRDefault="002443C3" w:rsidP="002443C3">
      <w:pPr>
        <w:pStyle w:val="BodyTextIndent"/>
        <w:tabs>
          <w:tab w:val="clear" w:pos="720"/>
        </w:tabs>
        <w:ind w:left="2160" w:firstLine="0"/>
        <w:rPr>
          <w:noProof/>
        </w:rPr>
      </w:pPr>
      <w:r w:rsidRPr="009B7532">
        <w:rPr>
          <w:noProof/>
          <w:position w:val="-30"/>
        </w:rPr>
        <w:object w:dxaOrig="4380" w:dyaOrig="680">
          <v:shape id="_x0000_i1054" type="#_x0000_t75" style="width:219pt;height:33.75pt" o:ole="" fillcolor="window">
            <v:imagedata r:id="rId67" o:title=""/>
          </v:shape>
          <o:OLEObject Type="Embed" ProgID="Equation.3" ShapeID="_x0000_i1054" DrawAspect="Content" ObjectID="_1355990232" r:id="rId68"/>
        </w:object>
      </w:r>
    </w:p>
    <w:p w:rsidR="002443C3" w:rsidRDefault="002443C3" w:rsidP="002443C3">
      <w:pPr>
        <w:pStyle w:val="BodyTextIndent"/>
        <w:tabs>
          <w:tab w:val="clear" w:pos="720"/>
        </w:tabs>
        <w:ind w:left="0" w:firstLine="0"/>
        <w:rPr>
          <w:noProof/>
        </w:rPr>
      </w:pPr>
    </w:p>
    <w:p w:rsidR="002443C3" w:rsidRDefault="002443C3" w:rsidP="002443C3">
      <w:pPr>
        <w:pStyle w:val="BodyTextIndent"/>
        <w:numPr>
          <w:ilvl w:val="0"/>
          <w:numId w:val="2"/>
        </w:numPr>
        <w:tabs>
          <w:tab w:val="clear" w:pos="720"/>
          <w:tab w:val="clear" w:pos="1440"/>
        </w:tabs>
        <w:spacing w:after="120"/>
      </w:pPr>
      <w:r>
        <w:t>Without PVGO, P</w:t>
      </w:r>
      <w:r>
        <w:rPr>
          <w:vertAlign w:val="subscript"/>
        </w:rPr>
        <w:t>3</w:t>
      </w:r>
      <w:r>
        <w:t xml:space="preserve"> would equal earnings for year 4 capitalized at 12 percent:</w:t>
      </w:r>
    </w:p>
    <w:p w:rsidR="002443C3" w:rsidRDefault="002443C3" w:rsidP="002443C3">
      <w:pPr>
        <w:pStyle w:val="BodyTextIndent"/>
        <w:tabs>
          <w:tab w:val="clear" w:pos="720"/>
        </w:tabs>
        <w:spacing w:line="360" w:lineRule="auto"/>
        <w:ind w:left="2160" w:firstLine="0"/>
      </w:pPr>
      <w:r w:rsidRPr="00552691">
        <w:rPr>
          <w:noProof/>
          <w:position w:val="-24"/>
        </w:rPr>
        <w:object w:dxaOrig="1840" w:dyaOrig="620">
          <v:shape id="_x0000_i1055" type="#_x0000_t75" style="width:92.25pt;height:30.75pt" o:ole="" fillcolor="window">
            <v:imagedata r:id="rId69" o:title=""/>
          </v:shape>
          <o:OLEObject Type="Embed" ProgID="Equation.3" ShapeID="_x0000_i1055" DrawAspect="Content" ObjectID="_1355990233" r:id="rId70"/>
        </w:object>
      </w:r>
    </w:p>
    <w:p w:rsidR="002443C3" w:rsidRDefault="002443C3" w:rsidP="002443C3">
      <w:pPr>
        <w:pStyle w:val="BodyTextIndent"/>
        <w:tabs>
          <w:tab w:val="clear" w:pos="720"/>
        </w:tabs>
        <w:ind w:left="1440" w:firstLine="0"/>
      </w:pPr>
      <w:r>
        <w:t xml:space="preserve">Therefore: PVGO = $31.00 </w:t>
      </w:r>
      <w:r>
        <w:rPr>
          <w:rFonts w:cs="Arial"/>
        </w:rPr>
        <w:t>–</w:t>
      </w:r>
      <w:r>
        <w:t xml:space="preserve"> $20.75 = $10.25</w:t>
      </w:r>
    </w:p>
    <w:p w:rsidR="002443C3" w:rsidRDefault="002443C3" w:rsidP="002443C3">
      <w:pPr>
        <w:pStyle w:val="BodyTextIndent"/>
        <w:tabs>
          <w:tab w:val="clear" w:pos="720"/>
        </w:tabs>
        <w:ind w:left="0" w:firstLine="0"/>
      </w:pPr>
    </w:p>
    <w:p w:rsidR="002443C3" w:rsidRDefault="002443C3" w:rsidP="002443C3">
      <w:pPr>
        <w:pStyle w:val="BodyTextIndent"/>
        <w:numPr>
          <w:ilvl w:val="0"/>
          <w:numId w:val="2"/>
        </w:numPr>
        <w:tabs>
          <w:tab w:val="clear" w:pos="720"/>
          <w:tab w:val="clear" w:pos="1440"/>
        </w:tabs>
        <w:spacing w:after="120"/>
      </w:pPr>
      <w:r>
        <w:t>The PVGO of $10.25 is lost at year 3.  Therefore, the current stock price of $23.81 will decrease by:</w:t>
      </w:r>
    </w:p>
    <w:p w:rsidR="002443C3" w:rsidRDefault="002443C3" w:rsidP="002443C3">
      <w:pPr>
        <w:pStyle w:val="BodyTextIndent"/>
        <w:tabs>
          <w:tab w:val="clear" w:pos="720"/>
        </w:tabs>
        <w:spacing w:line="360" w:lineRule="auto"/>
        <w:ind w:left="2160" w:firstLine="0"/>
      </w:pPr>
      <w:r w:rsidRPr="00552691">
        <w:rPr>
          <w:noProof/>
          <w:position w:val="-30"/>
        </w:rPr>
        <w:object w:dxaOrig="1740" w:dyaOrig="680">
          <v:shape id="_x0000_i1056" type="#_x0000_t75" style="width:87pt;height:33.75pt" o:ole="" fillcolor="window">
            <v:imagedata r:id="rId71" o:title=""/>
          </v:shape>
          <o:OLEObject Type="Embed" ProgID="Equation.3" ShapeID="_x0000_i1056" DrawAspect="Content" ObjectID="_1355990234" r:id="rId72"/>
        </w:object>
      </w:r>
    </w:p>
    <w:p w:rsidR="002443C3" w:rsidRDefault="002443C3" w:rsidP="002443C3">
      <w:pPr>
        <w:pStyle w:val="BodyTextIndent"/>
        <w:tabs>
          <w:tab w:val="clear" w:pos="720"/>
        </w:tabs>
        <w:ind w:left="1440" w:firstLine="0"/>
      </w:pPr>
      <w:r>
        <w:t xml:space="preserve">The new stock price will be: $23.81 </w:t>
      </w:r>
      <w:r>
        <w:rPr>
          <w:rFonts w:cs="Arial"/>
        </w:rPr>
        <w:t>–</w:t>
      </w:r>
      <w:r>
        <w:t xml:space="preserve"> $7.30 = $16.51</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ind w:left="0" w:firstLine="0"/>
      </w:pPr>
    </w:p>
    <w:p w:rsidR="002443C3" w:rsidRDefault="002443C3" w:rsidP="002443C3">
      <w:pPr>
        <w:pStyle w:val="BodyTextIndent"/>
        <w:spacing w:after="120"/>
        <w:ind w:left="1440" w:hanging="1440"/>
      </w:pPr>
      <w:r>
        <w:t>24.</w:t>
      </w:r>
      <w:r>
        <w:tab/>
        <w:t>a.</w:t>
      </w:r>
      <w:r>
        <w:tab/>
        <w:t>Here we can apply the standard growing perpetuity formula with DIV</w:t>
      </w:r>
      <w:r>
        <w:rPr>
          <w:vertAlign w:val="subscript"/>
        </w:rPr>
        <w:t>1</w:t>
      </w:r>
      <w:r>
        <w:t> = $4, g = 0.04 and P</w:t>
      </w:r>
      <w:r>
        <w:rPr>
          <w:vertAlign w:val="subscript"/>
        </w:rPr>
        <w:t>0</w:t>
      </w:r>
      <w:r>
        <w:t xml:space="preserve"> = $100:</w:t>
      </w:r>
    </w:p>
    <w:p w:rsidR="002443C3" w:rsidRDefault="002443C3" w:rsidP="002443C3">
      <w:pPr>
        <w:pStyle w:val="BodyTextIndent"/>
        <w:tabs>
          <w:tab w:val="clear" w:pos="720"/>
        </w:tabs>
        <w:spacing w:line="360" w:lineRule="auto"/>
        <w:ind w:left="2160" w:firstLine="0"/>
      </w:pPr>
      <w:r w:rsidRPr="00552691">
        <w:rPr>
          <w:noProof/>
          <w:position w:val="-30"/>
        </w:rPr>
        <w:object w:dxaOrig="4480" w:dyaOrig="700">
          <v:shape id="_x0000_i1057" type="#_x0000_t75" style="width:224.25pt;height:35.25pt" o:ole="" fillcolor="window">
            <v:imagedata r:id="rId73" o:title=""/>
          </v:shape>
          <o:OLEObject Type="Embed" ProgID="Equation.3" ShapeID="_x0000_i1057" DrawAspect="Content" ObjectID="_1355990235" r:id="rId74"/>
        </w:object>
      </w:r>
    </w:p>
    <w:p w:rsidR="002443C3" w:rsidRDefault="002443C3" w:rsidP="002443C3">
      <w:pPr>
        <w:pStyle w:val="BodyTextIndent"/>
        <w:tabs>
          <w:tab w:val="clear" w:pos="720"/>
        </w:tabs>
        <w:spacing w:line="360" w:lineRule="auto"/>
        <w:ind w:left="1440" w:firstLine="0"/>
      </w:pPr>
      <w:r>
        <w:t>The $4 dividend is 60 percent of earnings.  Thus:</w:t>
      </w:r>
    </w:p>
    <w:p w:rsidR="002443C3" w:rsidRDefault="002443C3" w:rsidP="002443C3">
      <w:pPr>
        <w:pStyle w:val="BodyTextIndent"/>
        <w:tabs>
          <w:tab w:val="clear" w:pos="720"/>
        </w:tabs>
        <w:spacing w:line="360" w:lineRule="auto"/>
        <w:ind w:left="2160" w:firstLine="0"/>
      </w:pPr>
      <w:r>
        <w:t>EPS</w:t>
      </w:r>
      <w:r>
        <w:rPr>
          <w:vertAlign w:val="subscript"/>
        </w:rPr>
        <w:t>1</w:t>
      </w:r>
      <w:r>
        <w:t xml:space="preserve"> = 4/0.6 = $6.67</w:t>
      </w:r>
    </w:p>
    <w:p w:rsidR="002443C3" w:rsidRDefault="002443C3" w:rsidP="002443C3">
      <w:pPr>
        <w:pStyle w:val="BodyTextIndent"/>
        <w:tabs>
          <w:tab w:val="clear" w:pos="720"/>
        </w:tabs>
        <w:spacing w:line="360" w:lineRule="auto"/>
        <w:ind w:left="1440" w:firstLine="0"/>
      </w:pPr>
      <w:r>
        <w:t>Also:</w:t>
      </w:r>
    </w:p>
    <w:p w:rsidR="002443C3" w:rsidRDefault="002443C3" w:rsidP="002443C3">
      <w:pPr>
        <w:pStyle w:val="BodyTextIndent"/>
        <w:tabs>
          <w:tab w:val="clear" w:pos="720"/>
        </w:tabs>
        <w:spacing w:line="360" w:lineRule="auto"/>
        <w:ind w:left="2160" w:firstLine="0"/>
      </w:pPr>
      <w:r>
        <w:rPr>
          <w:noProof/>
        </w:rPr>
        <w:br w:type="page"/>
      </w:r>
      <w:r>
        <w:rPr>
          <w:noProof/>
          <w:position w:val="-24"/>
        </w:rPr>
        <w:object w:dxaOrig="1939" w:dyaOrig="620">
          <v:shape id="_x0000_i1058" type="#_x0000_t75" style="width:96.75pt;height:30.75pt" o:ole="" fillcolor="window">
            <v:imagedata r:id="rId75" o:title=""/>
          </v:shape>
          <o:OLEObject Type="Embed" ProgID="Equation.3" ShapeID="_x0000_i1058" DrawAspect="Content" ObjectID="_1355990236" r:id="rId76"/>
        </w:object>
      </w:r>
    </w:p>
    <w:p w:rsidR="002443C3" w:rsidRDefault="002443C3" w:rsidP="002443C3">
      <w:pPr>
        <w:pStyle w:val="BodyTextIndent"/>
        <w:tabs>
          <w:tab w:val="clear" w:pos="720"/>
        </w:tabs>
        <w:spacing w:line="360" w:lineRule="auto"/>
        <w:ind w:left="2160" w:firstLine="0"/>
      </w:pPr>
      <w:r w:rsidRPr="00552691">
        <w:rPr>
          <w:noProof/>
          <w:position w:val="-24"/>
        </w:rPr>
        <w:object w:dxaOrig="2520" w:dyaOrig="620">
          <v:shape id="_x0000_i1059" type="#_x0000_t75" style="width:126pt;height:30.75pt" o:ole="" fillcolor="window">
            <v:imagedata r:id="rId77" o:title=""/>
          </v:shape>
          <o:OLEObject Type="Embed" ProgID="Equation.3" ShapeID="_x0000_i1059" DrawAspect="Content" ObjectID="_1355990237" r:id="rId78"/>
        </w:object>
      </w:r>
    </w:p>
    <w:p w:rsidR="002443C3" w:rsidRDefault="002443C3" w:rsidP="002443C3">
      <w:pPr>
        <w:pStyle w:val="BodyTextIndent"/>
        <w:tabs>
          <w:tab w:val="clear" w:pos="720"/>
        </w:tabs>
        <w:ind w:left="2160" w:firstLine="0"/>
      </w:pPr>
      <w:r>
        <w:t>PVGO = $16.63</w:t>
      </w:r>
    </w:p>
    <w:p w:rsidR="002443C3" w:rsidRDefault="002443C3" w:rsidP="002443C3">
      <w:pPr>
        <w:pStyle w:val="BodyTextIndent"/>
        <w:tabs>
          <w:tab w:val="clear" w:pos="720"/>
        </w:tabs>
        <w:ind w:left="0" w:firstLine="0"/>
      </w:pPr>
    </w:p>
    <w:p w:rsidR="002443C3" w:rsidRDefault="002443C3" w:rsidP="002443C3">
      <w:pPr>
        <w:pStyle w:val="BodyTextIndent"/>
        <w:numPr>
          <w:ilvl w:val="0"/>
          <w:numId w:val="3"/>
        </w:numPr>
        <w:tabs>
          <w:tab w:val="clear" w:pos="720"/>
          <w:tab w:val="clear" w:pos="1440"/>
        </w:tabs>
        <w:spacing w:line="360" w:lineRule="auto"/>
      </w:pPr>
      <w:r>
        <w:t>DIV</w:t>
      </w:r>
      <w:r>
        <w:rPr>
          <w:vertAlign w:val="subscript"/>
        </w:rPr>
        <w:t>1</w:t>
      </w:r>
      <w:r>
        <w:t xml:space="preserve"> will decrease to: 0.20 </w:t>
      </w:r>
      <w:r>
        <w:sym w:font="Symbol" w:char="F0B4"/>
      </w:r>
      <w:r>
        <w:t xml:space="preserve"> 6.67 = $1.33</w:t>
      </w:r>
    </w:p>
    <w:p w:rsidR="002443C3" w:rsidRDefault="002443C3" w:rsidP="002443C3">
      <w:pPr>
        <w:pStyle w:val="BodyTextIndent"/>
        <w:tabs>
          <w:tab w:val="clear" w:pos="720"/>
        </w:tabs>
        <w:spacing w:after="120"/>
        <w:ind w:left="1440" w:firstLine="0"/>
      </w:pPr>
      <w:r>
        <w:t>However, by plowing back 80 percent of earnings, CSI will grow by 8 percent per year for five years.  Thus:</w:t>
      </w:r>
    </w:p>
    <w:tbl>
      <w:tblPr>
        <w:tblW w:w="0" w:type="auto"/>
        <w:tblInd w:w="1458" w:type="dxa"/>
        <w:tblBorders>
          <w:top w:val="nil"/>
          <w:left w:val="nil"/>
          <w:bottom w:val="nil"/>
          <w:right w:val="nil"/>
          <w:insideH w:val="nil"/>
          <w:insideV w:val="nil"/>
        </w:tblBorders>
        <w:tblLayout w:type="fixed"/>
        <w:tblLook w:val="00AE"/>
      </w:tblPr>
      <w:tblGrid>
        <w:gridCol w:w="810"/>
        <w:gridCol w:w="840"/>
        <w:gridCol w:w="840"/>
        <w:gridCol w:w="840"/>
        <w:gridCol w:w="840"/>
        <w:gridCol w:w="840"/>
        <w:gridCol w:w="840"/>
        <w:gridCol w:w="1530"/>
      </w:tblGrid>
      <w:tr w:rsidR="002443C3" w:rsidTr="002443C3">
        <w:tblPrEx>
          <w:tblCellMar>
            <w:top w:w="0" w:type="dxa"/>
            <w:bottom w:w="0" w:type="dxa"/>
          </w:tblCellMar>
        </w:tblPrEx>
        <w:trPr>
          <w:cantSplit/>
        </w:trPr>
        <w:tc>
          <w:tcPr>
            <w:tcW w:w="81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Year</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1</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2</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3</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4</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5</w:t>
            </w:r>
          </w:p>
        </w:tc>
        <w:tc>
          <w:tcPr>
            <w:tcW w:w="84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6</w:t>
            </w:r>
          </w:p>
        </w:tc>
        <w:tc>
          <w:tcPr>
            <w:tcW w:w="1530" w:type="dxa"/>
            <w:tcBorders>
              <w:bottom w:val="single" w:sz="4" w:space="0" w:color="auto"/>
            </w:tcBorders>
          </w:tcPr>
          <w:p w:rsidR="002443C3" w:rsidRPr="00805DA5" w:rsidRDefault="002443C3" w:rsidP="002443C3">
            <w:pPr>
              <w:pStyle w:val="BodyTextIndent"/>
              <w:tabs>
                <w:tab w:val="clear" w:pos="720"/>
              </w:tabs>
              <w:ind w:left="0" w:firstLine="0"/>
              <w:jc w:val="center"/>
            </w:pPr>
            <w:r w:rsidRPr="00805DA5">
              <w:t>7, 8 . . .</w:t>
            </w:r>
          </w:p>
        </w:tc>
      </w:tr>
      <w:tr w:rsidR="002443C3" w:rsidTr="002443C3">
        <w:tblPrEx>
          <w:tblCellMar>
            <w:top w:w="0" w:type="dxa"/>
            <w:bottom w:w="0" w:type="dxa"/>
          </w:tblCellMar>
        </w:tblPrEx>
        <w:trPr>
          <w:cantSplit/>
        </w:trPr>
        <w:tc>
          <w:tcPr>
            <w:tcW w:w="810" w:type="dxa"/>
            <w:tcBorders>
              <w:top w:val="single" w:sz="4" w:space="0" w:color="auto"/>
            </w:tcBorders>
          </w:tcPr>
          <w:p w:rsidR="002443C3" w:rsidRDefault="002443C3" w:rsidP="002443C3">
            <w:pPr>
              <w:pStyle w:val="BodyTextIndent"/>
              <w:tabs>
                <w:tab w:val="clear" w:pos="720"/>
              </w:tabs>
              <w:ind w:left="0" w:firstLine="0"/>
              <w:jc w:val="center"/>
              <w:rPr>
                <w:vertAlign w:val="subscript"/>
              </w:rPr>
            </w:pPr>
            <w:r>
              <w:t>DIV</w:t>
            </w:r>
            <w:r>
              <w:rPr>
                <w:vertAlign w:val="subscript"/>
              </w:rPr>
              <w:t>t</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1.33</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1.44</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1.55</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1.68</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1.81</w:t>
            </w:r>
          </w:p>
        </w:tc>
        <w:tc>
          <w:tcPr>
            <w:tcW w:w="840" w:type="dxa"/>
            <w:tcBorders>
              <w:top w:val="single" w:sz="4" w:space="0" w:color="auto"/>
            </w:tcBorders>
          </w:tcPr>
          <w:p w:rsidR="002443C3" w:rsidRDefault="002443C3" w:rsidP="002443C3">
            <w:pPr>
              <w:pStyle w:val="BodyTextIndent"/>
              <w:tabs>
                <w:tab w:val="clear" w:pos="720"/>
                <w:tab w:val="decimal" w:pos="252"/>
              </w:tabs>
              <w:ind w:left="0" w:firstLine="0"/>
            </w:pPr>
            <w:r>
              <w:t>5.88</w:t>
            </w:r>
          </w:p>
        </w:tc>
        <w:tc>
          <w:tcPr>
            <w:tcW w:w="1530" w:type="dxa"/>
            <w:tcBorders>
              <w:top w:val="single" w:sz="4" w:space="0" w:color="auto"/>
            </w:tcBorders>
          </w:tcPr>
          <w:p w:rsidR="002443C3" w:rsidRDefault="002443C3" w:rsidP="002443C3">
            <w:pPr>
              <w:pStyle w:val="BodyTextIndent"/>
              <w:tabs>
                <w:tab w:val="clear" w:pos="720"/>
              </w:tabs>
              <w:ind w:left="0" w:firstLine="0"/>
            </w:pPr>
            <w:r>
              <w:t xml:space="preserve">Continued </w:t>
            </w:r>
          </w:p>
        </w:tc>
      </w:tr>
      <w:tr w:rsidR="002443C3" w:rsidTr="002443C3">
        <w:tblPrEx>
          <w:tblCellMar>
            <w:top w:w="0" w:type="dxa"/>
            <w:bottom w:w="0" w:type="dxa"/>
          </w:tblCellMar>
        </w:tblPrEx>
        <w:trPr>
          <w:cantSplit/>
        </w:trPr>
        <w:tc>
          <w:tcPr>
            <w:tcW w:w="810" w:type="dxa"/>
          </w:tcPr>
          <w:p w:rsidR="002443C3" w:rsidRDefault="002443C3" w:rsidP="002443C3">
            <w:pPr>
              <w:pStyle w:val="BodyTextIndent"/>
              <w:tabs>
                <w:tab w:val="clear" w:pos="720"/>
              </w:tabs>
              <w:ind w:left="0" w:firstLine="0"/>
              <w:jc w:val="center"/>
            </w:pPr>
          </w:p>
        </w:tc>
        <w:tc>
          <w:tcPr>
            <w:tcW w:w="840" w:type="dxa"/>
          </w:tcPr>
          <w:p w:rsidR="002443C3" w:rsidRDefault="002443C3" w:rsidP="002443C3">
            <w:pPr>
              <w:pStyle w:val="BodyTextIndent"/>
              <w:tabs>
                <w:tab w:val="clear" w:pos="720"/>
                <w:tab w:val="decimal" w:pos="252"/>
              </w:tabs>
              <w:ind w:left="0" w:firstLine="0"/>
            </w:pPr>
          </w:p>
        </w:tc>
        <w:tc>
          <w:tcPr>
            <w:tcW w:w="840" w:type="dxa"/>
          </w:tcPr>
          <w:p w:rsidR="002443C3" w:rsidRDefault="002443C3" w:rsidP="002443C3">
            <w:pPr>
              <w:pStyle w:val="BodyTextIndent"/>
              <w:tabs>
                <w:tab w:val="clear" w:pos="720"/>
                <w:tab w:val="decimal" w:pos="252"/>
              </w:tabs>
              <w:ind w:left="0" w:firstLine="0"/>
            </w:pPr>
          </w:p>
        </w:tc>
        <w:tc>
          <w:tcPr>
            <w:tcW w:w="840" w:type="dxa"/>
          </w:tcPr>
          <w:p w:rsidR="002443C3" w:rsidRDefault="002443C3" w:rsidP="002443C3">
            <w:pPr>
              <w:pStyle w:val="BodyTextIndent"/>
              <w:tabs>
                <w:tab w:val="clear" w:pos="720"/>
                <w:tab w:val="decimal" w:pos="252"/>
              </w:tabs>
              <w:ind w:left="0" w:firstLine="0"/>
            </w:pPr>
          </w:p>
        </w:tc>
        <w:tc>
          <w:tcPr>
            <w:tcW w:w="840" w:type="dxa"/>
          </w:tcPr>
          <w:p w:rsidR="002443C3" w:rsidRDefault="002443C3" w:rsidP="002443C3">
            <w:pPr>
              <w:pStyle w:val="BodyTextIndent"/>
              <w:tabs>
                <w:tab w:val="clear" w:pos="720"/>
                <w:tab w:val="decimal" w:pos="252"/>
              </w:tabs>
              <w:ind w:left="0" w:firstLine="0"/>
            </w:pPr>
          </w:p>
        </w:tc>
        <w:tc>
          <w:tcPr>
            <w:tcW w:w="840" w:type="dxa"/>
          </w:tcPr>
          <w:p w:rsidR="002443C3" w:rsidRDefault="002443C3" w:rsidP="002443C3">
            <w:pPr>
              <w:pStyle w:val="BodyTextIndent"/>
              <w:tabs>
                <w:tab w:val="clear" w:pos="720"/>
                <w:tab w:val="decimal" w:pos="252"/>
              </w:tabs>
              <w:ind w:left="0" w:firstLine="0"/>
            </w:pPr>
          </w:p>
        </w:tc>
        <w:tc>
          <w:tcPr>
            <w:tcW w:w="840" w:type="dxa"/>
          </w:tcPr>
          <w:p w:rsidR="002443C3" w:rsidRDefault="002443C3" w:rsidP="002443C3">
            <w:pPr>
              <w:pStyle w:val="BodyTextIndent"/>
              <w:tabs>
                <w:tab w:val="clear" w:pos="720"/>
                <w:tab w:val="decimal" w:pos="252"/>
              </w:tabs>
              <w:ind w:left="0" w:firstLine="0"/>
            </w:pPr>
          </w:p>
        </w:tc>
        <w:tc>
          <w:tcPr>
            <w:tcW w:w="1530" w:type="dxa"/>
          </w:tcPr>
          <w:p w:rsidR="002443C3" w:rsidRDefault="002443C3" w:rsidP="002443C3">
            <w:pPr>
              <w:pStyle w:val="BodyTextIndent"/>
              <w:tabs>
                <w:tab w:val="clear" w:pos="720"/>
              </w:tabs>
              <w:ind w:left="0" w:firstLine="0"/>
            </w:pPr>
            <w:r>
              <w:t>growth at</w:t>
            </w:r>
          </w:p>
        </w:tc>
      </w:tr>
      <w:tr w:rsidR="002443C3" w:rsidTr="002443C3">
        <w:tblPrEx>
          <w:tblCellMar>
            <w:top w:w="0" w:type="dxa"/>
            <w:bottom w:w="0" w:type="dxa"/>
          </w:tblCellMar>
        </w:tblPrEx>
        <w:trPr>
          <w:cantSplit/>
        </w:trPr>
        <w:tc>
          <w:tcPr>
            <w:tcW w:w="810" w:type="dxa"/>
          </w:tcPr>
          <w:p w:rsidR="002443C3" w:rsidRDefault="002443C3" w:rsidP="002443C3">
            <w:pPr>
              <w:pStyle w:val="BodyTextIndent"/>
              <w:tabs>
                <w:tab w:val="clear" w:pos="720"/>
              </w:tabs>
              <w:ind w:left="0" w:firstLine="0"/>
              <w:jc w:val="center"/>
              <w:rPr>
                <w:vertAlign w:val="subscript"/>
              </w:rPr>
            </w:pPr>
            <w:r>
              <w:t>EPS</w:t>
            </w:r>
            <w:r>
              <w:rPr>
                <w:vertAlign w:val="subscript"/>
              </w:rPr>
              <w:t>t</w:t>
            </w:r>
          </w:p>
        </w:tc>
        <w:tc>
          <w:tcPr>
            <w:tcW w:w="840" w:type="dxa"/>
          </w:tcPr>
          <w:p w:rsidR="002443C3" w:rsidRDefault="002443C3" w:rsidP="002443C3">
            <w:pPr>
              <w:pStyle w:val="BodyTextIndent"/>
              <w:tabs>
                <w:tab w:val="clear" w:pos="720"/>
                <w:tab w:val="decimal" w:pos="252"/>
              </w:tabs>
              <w:ind w:left="0" w:firstLine="0"/>
            </w:pPr>
            <w:r>
              <w:t>6.67</w:t>
            </w:r>
          </w:p>
        </w:tc>
        <w:tc>
          <w:tcPr>
            <w:tcW w:w="840" w:type="dxa"/>
          </w:tcPr>
          <w:p w:rsidR="002443C3" w:rsidRDefault="002443C3" w:rsidP="002443C3">
            <w:pPr>
              <w:pStyle w:val="BodyTextIndent"/>
              <w:tabs>
                <w:tab w:val="clear" w:pos="720"/>
                <w:tab w:val="decimal" w:pos="252"/>
              </w:tabs>
              <w:ind w:left="0" w:firstLine="0"/>
            </w:pPr>
            <w:r>
              <w:t>7.20</w:t>
            </w:r>
          </w:p>
        </w:tc>
        <w:tc>
          <w:tcPr>
            <w:tcW w:w="840" w:type="dxa"/>
          </w:tcPr>
          <w:p w:rsidR="002443C3" w:rsidRDefault="002443C3" w:rsidP="002443C3">
            <w:pPr>
              <w:pStyle w:val="BodyTextIndent"/>
              <w:tabs>
                <w:tab w:val="clear" w:pos="720"/>
                <w:tab w:val="decimal" w:pos="252"/>
              </w:tabs>
              <w:ind w:left="0" w:firstLine="0"/>
            </w:pPr>
            <w:r>
              <w:t>7.78</w:t>
            </w:r>
          </w:p>
        </w:tc>
        <w:tc>
          <w:tcPr>
            <w:tcW w:w="840" w:type="dxa"/>
          </w:tcPr>
          <w:p w:rsidR="002443C3" w:rsidRDefault="002443C3" w:rsidP="002443C3">
            <w:pPr>
              <w:pStyle w:val="BodyTextIndent"/>
              <w:tabs>
                <w:tab w:val="clear" w:pos="720"/>
                <w:tab w:val="decimal" w:pos="252"/>
              </w:tabs>
              <w:ind w:left="0" w:firstLine="0"/>
            </w:pPr>
            <w:r>
              <w:t>8.40</w:t>
            </w:r>
          </w:p>
        </w:tc>
        <w:tc>
          <w:tcPr>
            <w:tcW w:w="840" w:type="dxa"/>
          </w:tcPr>
          <w:p w:rsidR="002443C3" w:rsidRDefault="002443C3" w:rsidP="002443C3">
            <w:pPr>
              <w:pStyle w:val="BodyTextIndent"/>
              <w:tabs>
                <w:tab w:val="clear" w:pos="720"/>
                <w:tab w:val="decimal" w:pos="252"/>
              </w:tabs>
              <w:ind w:left="0" w:firstLine="0"/>
            </w:pPr>
            <w:r>
              <w:t>9.07</w:t>
            </w:r>
          </w:p>
        </w:tc>
        <w:tc>
          <w:tcPr>
            <w:tcW w:w="840" w:type="dxa"/>
          </w:tcPr>
          <w:p w:rsidR="002443C3" w:rsidRDefault="002443C3" w:rsidP="002443C3">
            <w:pPr>
              <w:pStyle w:val="BodyTextIndent"/>
              <w:tabs>
                <w:tab w:val="clear" w:pos="720"/>
                <w:tab w:val="decimal" w:pos="252"/>
              </w:tabs>
              <w:ind w:left="0" w:firstLine="0"/>
            </w:pPr>
            <w:r>
              <w:t>9.80</w:t>
            </w:r>
          </w:p>
        </w:tc>
        <w:tc>
          <w:tcPr>
            <w:tcW w:w="1530" w:type="dxa"/>
          </w:tcPr>
          <w:p w:rsidR="002443C3" w:rsidRDefault="002443C3" w:rsidP="002443C3">
            <w:pPr>
              <w:pStyle w:val="BodyTextIndent"/>
              <w:tabs>
                <w:tab w:val="clear" w:pos="720"/>
              </w:tabs>
              <w:ind w:left="0" w:firstLine="0"/>
            </w:pPr>
            <w:r>
              <w:t>4 percent</w:t>
            </w:r>
          </w:p>
        </w:tc>
      </w:tr>
    </w:tbl>
    <w:p w:rsidR="002443C3" w:rsidRDefault="002443C3" w:rsidP="002443C3">
      <w:pPr>
        <w:pStyle w:val="BodyTextIndent"/>
        <w:tabs>
          <w:tab w:val="clear" w:pos="720"/>
        </w:tabs>
        <w:spacing w:before="120" w:after="120"/>
        <w:ind w:left="1440" w:firstLine="0"/>
      </w:pPr>
      <w:r>
        <w:t>Note that DIV</w:t>
      </w:r>
      <w:r>
        <w:rPr>
          <w:vertAlign w:val="subscript"/>
        </w:rPr>
        <w:t>6</w:t>
      </w:r>
      <w:r>
        <w:t xml:space="preserve"> increases sharply as the firm switches back to a 60 percent payout policy.  Forecasted stock price in year 5 is:</w:t>
      </w:r>
    </w:p>
    <w:p w:rsidR="002443C3" w:rsidRDefault="002443C3" w:rsidP="002443C3">
      <w:pPr>
        <w:pStyle w:val="BodyTextIndent"/>
        <w:tabs>
          <w:tab w:val="clear" w:pos="720"/>
        </w:tabs>
        <w:spacing w:line="360" w:lineRule="auto"/>
        <w:ind w:left="2160" w:firstLine="0"/>
      </w:pPr>
      <w:r>
        <w:rPr>
          <w:noProof/>
          <w:position w:val="-30"/>
        </w:rPr>
        <w:object w:dxaOrig="3240" w:dyaOrig="680">
          <v:shape id="_x0000_i1060" type="#_x0000_t75" style="width:162pt;height:33.75pt" o:ole="" fillcolor="window">
            <v:imagedata r:id="rId79" o:title=""/>
          </v:shape>
          <o:OLEObject Type="Embed" ProgID="Equation.3" ShapeID="_x0000_i1060" DrawAspect="Content" ObjectID="_1355990238" r:id="rId80"/>
        </w:object>
      </w:r>
    </w:p>
    <w:p w:rsidR="002443C3" w:rsidRDefault="002443C3" w:rsidP="002443C3">
      <w:pPr>
        <w:pStyle w:val="BodyTextIndent"/>
        <w:tabs>
          <w:tab w:val="clear" w:pos="720"/>
        </w:tabs>
        <w:spacing w:line="360" w:lineRule="auto"/>
        <w:ind w:left="1440" w:firstLine="0"/>
      </w:pPr>
      <w:r>
        <w:t>Therefore, CSI’s stock price will increase to:</w:t>
      </w:r>
    </w:p>
    <w:p w:rsidR="002443C3" w:rsidRDefault="002443C3" w:rsidP="002443C3">
      <w:pPr>
        <w:pStyle w:val="BodyTextIndent"/>
        <w:tabs>
          <w:tab w:val="clear" w:pos="720"/>
        </w:tabs>
        <w:spacing w:line="360" w:lineRule="auto"/>
        <w:ind w:left="2160" w:firstLine="0"/>
        <w:rPr>
          <w:noProof/>
        </w:rPr>
      </w:pPr>
      <w:r w:rsidRPr="00C64271">
        <w:rPr>
          <w:noProof/>
          <w:position w:val="-24"/>
        </w:rPr>
        <w:object w:dxaOrig="5960" w:dyaOrig="620">
          <v:shape id="_x0000_i1061" type="#_x0000_t75" style="width:297.75pt;height:30.75pt" o:ole="" fillcolor="window">
            <v:imagedata r:id="rId81" o:title=""/>
          </v:shape>
          <o:OLEObject Type="Embed" ProgID="Equation.3" ShapeID="_x0000_i1061" DrawAspect="Content" ObjectID="_1355990239" r:id="rId82"/>
        </w:object>
      </w:r>
    </w:p>
    <w:p w:rsidR="002443C3" w:rsidRPr="00AC3DD0" w:rsidRDefault="002443C3" w:rsidP="002443C3">
      <w:pPr>
        <w:pStyle w:val="BodyTextIndent"/>
        <w:tabs>
          <w:tab w:val="clear" w:pos="720"/>
        </w:tabs>
        <w:ind w:left="0" w:firstLine="0"/>
      </w:pPr>
    </w:p>
    <w:p w:rsidR="002443C3" w:rsidRPr="00AC3DD0" w:rsidRDefault="002443C3" w:rsidP="002443C3">
      <w:pPr>
        <w:pStyle w:val="BodyTextIndent"/>
        <w:tabs>
          <w:tab w:val="clear" w:pos="720"/>
        </w:tabs>
        <w:ind w:left="0" w:firstLine="0"/>
      </w:pPr>
    </w:p>
    <w:p w:rsidR="002443C3" w:rsidRDefault="002443C3" w:rsidP="002443C3">
      <w:pPr>
        <w:pStyle w:val="BodyTextIndent"/>
        <w:tabs>
          <w:tab w:val="left" w:pos="720"/>
        </w:tabs>
        <w:spacing w:after="120"/>
        <w:ind w:left="1440" w:hanging="1440"/>
      </w:pPr>
      <w:r>
        <w:t>25.</w:t>
      </w:r>
      <w:r>
        <w:tab/>
        <w:t>a.</w:t>
      </w:r>
      <w:r>
        <w:tab/>
        <w:t>First, we use the following Excel spreadsheet to compute net income (or dividends) for 2009 through 2013:</w:t>
      </w:r>
    </w:p>
    <w:tbl>
      <w:tblPr>
        <w:tblW w:w="9465" w:type="dxa"/>
        <w:tblInd w:w="93" w:type="dxa"/>
        <w:tblLayout w:type="fixed"/>
        <w:tblLook w:val="0000"/>
      </w:tblPr>
      <w:tblGrid>
        <w:gridCol w:w="2625"/>
        <w:gridCol w:w="1368"/>
        <w:gridCol w:w="1368"/>
        <w:gridCol w:w="1368"/>
        <w:gridCol w:w="1368"/>
        <w:gridCol w:w="1368"/>
      </w:tblGrid>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single" w:sz="4" w:space="0" w:color="auto"/>
              <w:right w:val="nil"/>
            </w:tcBorders>
            <w:shd w:val="clear" w:color="auto" w:fill="auto"/>
            <w:noWrap/>
            <w:vAlign w:val="bottom"/>
          </w:tcPr>
          <w:p w:rsidR="002443C3" w:rsidRPr="005160D7" w:rsidRDefault="002443C3" w:rsidP="002443C3">
            <w:pPr>
              <w:jc w:val="center"/>
              <w:rPr>
                <w:rFonts w:cs="Arial"/>
                <w:b/>
                <w:bCs/>
                <w:sz w:val="20"/>
              </w:rPr>
            </w:pPr>
            <w:r>
              <w:rPr>
                <w:rFonts w:cs="Arial"/>
                <w:b/>
                <w:bCs/>
                <w:sz w:val="20"/>
              </w:rPr>
              <w:t>2009</w:t>
            </w:r>
          </w:p>
        </w:tc>
        <w:tc>
          <w:tcPr>
            <w:tcW w:w="1368" w:type="dxa"/>
            <w:tcBorders>
              <w:top w:val="nil"/>
              <w:left w:val="nil"/>
              <w:bottom w:val="single" w:sz="4" w:space="0" w:color="auto"/>
              <w:right w:val="nil"/>
            </w:tcBorders>
            <w:shd w:val="clear" w:color="auto" w:fill="auto"/>
            <w:noWrap/>
            <w:vAlign w:val="bottom"/>
          </w:tcPr>
          <w:p w:rsidR="002443C3" w:rsidRPr="005160D7" w:rsidRDefault="002443C3" w:rsidP="002443C3">
            <w:pPr>
              <w:jc w:val="center"/>
              <w:rPr>
                <w:rFonts w:cs="Arial"/>
                <w:b/>
                <w:bCs/>
                <w:sz w:val="20"/>
              </w:rPr>
            </w:pPr>
            <w:r>
              <w:rPr>
                <w:rFonts w:cs="Arial"/>
                <w:b/>
                <w:bCs/>
                <w:sz w:val="20"/>
              </w:rPr>
              <w:t>2010</w:t>
            </w:r>
          </w:p>
        </w:tc>
        <w:tc>
          <w:tcPr>
            <w:tcW w:w="1368" w:type="dxa"/>
            <w:tcBorders>
              <w:top w:val="nil"/>
              <w:left w:val="nil"/>
              <w:bottom w:val="single" w:sz="4" w:space="0" w:color="auto"/>
              <w:right w:val="nil"/>
            </w:tcBorders>
            <w:shd w:val="clear" w:color="auto" w:fill="auto"/>
            <w:noWrap/>
            <w:vAlign w:val="bottom"/>
          </w:tcPr>
          <w:p w:rsidR="002443C3" w:rsidRPr="005160D7" w:rsidRDefault="002443C3" w:rsidP="002443C3">
            <w:pPr>
              <w:jc w:val="center"/>
              <w:rPr>
                <w:rFonts w:cs="Arial"/>
                <w:b/>
                <w:bCs/>
                <w:sz w:val="20"/>
              </w:rPr>
            </w:pPr>
            <w:r>
              <w:rPr>
                <w:rFonts w:cs="Arial"/>
                <w:b/>
                <w:bCs/>
                <w:sz w:val="20"/>
              </w:rPr>
              <w:t>2011</w:t>
            </w:r>
          </w:p>
        </w:tc>
        <w:tc>
          <w:tcPr>
            <w:tcW w:w="1368" w:type="dxa"/>
            <w:tcBorders>
              <w:top w:val="nil"/>
              <w:left w:val="nil"/>
              <w:bottom w:val="single" w:sz="4" w:space="0" w:color="auto"/>
              <w:right w:val="nil"/>
            </w:tcBorders>
            <w:shd w:val="clear" w:color="auto" w:fill="auto"/>
            <w:noWrap/>
            <w:vAlign w:val="bottom"/>
          </w:tcPr>
          <w:p w:rsidR="002443C3" w:rsidRPr="005160D7" w:rsidRDefault="002443C3" w:rsidP="002443C3">
            <w:pPr>
              <w:jc w:val="center"/>
              <w:rPr>
                <w:rFonts w:cs="Arial"/>
                <w:b/>
                <w:bCs/>
                <w:sz w:val="20"/>
              </w:rPr>
            </w:pPr>
            <w:r>
              <w:rPr>
                <w:rFonts w:cs="Arial"/>
                <w:b/>
                <w:bCs/>
                <w:sz w:val="20"/>
              </w:rPr>
              <w:t>2012</w:t>
            </w:r>
          </w:p>
        </w:tc>
        <w:tc>
          <w:tcPr>
            <w:tcW w:w="1368" w:type="dxa"/>
            <w:tcBorders>
              <w:top w:val="nil"/>
              <w:left w:val="nil"/>
              <w:bottom w:val="single" w:sz="4" w:space="0" w:color="auto"/>
              <w:right w:val="nil"/>
            </w:tcBorders>
            <w:shd w:val="clear" w:color="auto" w:fill="auto"/>
            <w:noWrap/>
            <w:vAlign w:val="bottom"/>
          </w:tcPr>
          <w:p w:rsidR="002443C3" w:rsidRPr="005160D7" w:rsidRDefault="002443C3" w:rsidP="002443C3">
            <w:pPr>
              <w:jc w:val="center"/>
              <w:rPr>
                <w:rFonts w:cs="Arial"/>
                <w:b/>
                <w:bCs/>
                <w:sz w:val="20"/>
              </w:rPr>
            </w:pPr>
            <w:r>
              <w:rPr>
                <w:rFonts w:cs="Arial"/>
                <w:b/>
                <w:bCs/>
                <w:sz w:val="20"/>
              </w:rPr>
              <w:t>2013</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sidRPr="005160D7">
              <w:rPr>
                <w:rFonts w:cs="Arial"/>
                <w:sz w:val="20"/>
              </w:rPr>
              <w:t>Production (million barrels)</w:t>
            </w:r>
          </w:p>
        </w:tc>
        <w:tc>
          <w:tcPr>
            <w:tcW w:w="1368" w:type="dxa"/>
            <w:tcBorders>
              <w:top w:val="single" w:sz="4" w:space="0" w:color="auto"/>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1.8000</w:t>
            </w:r>
          </w:p>
        </w:tc>
        <w:tc>
          <w:tcPr>
            <w:tcW w:w="1368" w:type="dxa"/>
            <w:tcBorders>
              <w:top w:val="single" w:sz="4" w:space="0" w:color="auto"/>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1.6740</w:t>
            </w:r>
          </w:p>
        </w:tc>
        <w:tc>
          <w:tcPr>
            <w:tcW w:w="1368" w:type="dxa"/>
            <w:tcBorders>
              <w:top w:val="single" w:sz="4" w:space="0" w:color="auto"/>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1.5568</w:t>
            </w:r>
          </w:p>
        </w:tc>
        <w:tc>
          <w:tcPr>
            <w:tcW w:w="1368" w:type="dxa"/>
            <w:tcBorders>
              <w:top w:val="single" w:sz="4" w:space="0" w:color="auto"/>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1.4478</w:t>
            </w:r>
          </w:p>
        </w:tc>
        <w:tc>
          <w:tcPr>
            <w:tcW w:w="1368" w:type="dxa"/>
            <w:tcBorders>
              <w:top w:val="single" w:sz="4" w:space="0" w:color="auto"/>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1.3465</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sidRPr="005160D7">
              <w:rPr>
                <w:rFonts w:cs="Arial"/>
                <w:sz w:val="20"/>
              </w:rPr>
              <w:t>Price of oil/barrel</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65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60</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55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50</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52.5</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Pr>
                <w:rFonts w:cs="Arial"/>
                <w:sz w:val="20"/>
              </w:rPr>
              <w:t>Costs</w:t>
            </w:r>
            <w:r w:rsidRPr="005160D7">
              <w:rPr>
                <w:rFonts w:cs="Arial"/>
                <w:sz w:val="20"/>
              </w:rPr>
              <w:t>/barrel</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25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25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25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25</w:t>
            </w:r>
          </w:p>
        </w:tc>
        <w:tc>
          <w:tcPr>
            <w:tcW w:w="1368" w:type="dxa"/>
            <w:tcBorders>
              <w:top w:val="nil"/>
              <w:left w:val="nil"/>
              <w:bottom w:val="nil"/>
              <w:right w:val="nil"/>
            </w:tcBorders>
            <w:shd w:val="clear" w:color="auto" w:fill="auto"/>
            <w:noWrap/>
            <w:vAlign w:val="bottom"/>
          </w:tcPr>
          <w:p w:rsidR="002443C3" w:rsidRPr="005160D7" w:rsidRDefault="002443C3" w:rsidP="002443C3">
            <w:pPr>
              <w:jc w:val="center"/>
              <w:rPr>
                <w:rFonts w:cs="Arial"/>
                <w:sz w:val="20"/>
              </w:rPr>
            </w:pPr>
            <w:r w:rsidRPr="005160D7">
              <w:rPr>
                <w:rFonts w:cs="Arial"/>
                <w:sz w:val="20"/>
              </w:rPr>
              <w:t>25</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c>
          <w:tcPr>
            <w:tcW w:w="1368"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sidRPr="005160D7">
              <w:rPr>
                <w:rFonts w:cs="Arial"/>
                <w:sz w:val="20"/>
              </w:rPr>
              <w:t>Revenue</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117,000,000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100,440,000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85,625,100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72,392,130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70,690,915</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sidRPr="005160D7">
              <w:rPr>
                <w:rFonts w:cs="Arial"/>
                <w:sz w:val="20"/>
              </w:rPr>
              <w:t>Expenses</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45,000,000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41,850,000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38,920,500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36,196,065</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33,662,340</w:t>
            </w:r>
          </w:p>
        </w:tc>
      </w:tr>
      <w:tr w:rsidR="002443C3" w:rsidRPr="005160D7" w:rsidTr="002443C3">
        <w:trPr>
          <w:trHeight w:val="255"/>
        </w:trPr>
        <w:tc>
          <w:tcPr>
            <w:tcW w:w="2625" w:type="dxa"/>
            <w:tcBorders>
              <w:top w:val="nil"/>
              <w:left w:val="nil"/>
              <w:bottom w:val="nil"/>
              <w:right w:val="nil"/>
            </w:tcBorders>
            <w:shd w:val="clear" w:color="auto" w:fill="auto"/>
            <w:noWrap/>
            <w:vAlign w:val="bottom"/>
          </w:tcPr>
          <w:p w:rsidR="002443C3" w:rsidRPr="005160D7" w:rsidRDefault="002443C3" w:rsidP="002443C3">
            <w:pPr>
              <w:rPr>
                <w:rFonts w:cs="Arial"/>
                <w:sz w:val="20"/>
              </w:rPr>
            </w:pPr>
            <w:r w:rsidRPr="005160D7">
              <w:rPr>
                <w:rFonts w:cs="Arial"/>
                <w:sz w:val="20"/>
              </w:rPr>
              <w:t>Net Income (= Dividends)</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72,000,000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58,590,000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46,704,600</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36,196,065</w:t>
            </w:r>
          </w:p>
        </w:tc>
        <w:tc>
          <w:tcPr>
            <w:tcW w:w="1368" w:type="dxa"/>
            <w:tcBorders>
              <w:top w:val="nil"/>
              <w:left w:val="nil"/>
              <w:bottom w:val="nil"/>
              <w:right w:val="nil"/>
            </w:tcBorders>
            <w:shd w:val="clear" w:color="auto" w:fill="auto"/>
            <w:noWrap/>
            <w:vAlign w:val="bottom"/>
          </w:tcPr>
          <w:p w:rsidR="002443C3" w:rsidRPr="005160D7" w:rsidRDefault="002443C3" w:rsidP="002443C3">
            <w:pPr>
              <w:jc w:val="right"/>
              <w:rPr>
                <w:rFonts w:cs="Arial"/>
                <w:sz w:val="20"/>
              </w:rPr>
            </w:pPr>
            <w:r w:rsidRPr="005160D7">
              <w:rPr>
                <w:rFonts w:cs="Arial"/>
                <w:sz w:val="20"/>
              </w:rPr>
              <w:t>37,028,574</w:t>
            </w:r>
          </w:p>
        </w:tc>
      </w:tr>
    </w:tbl>
    <w:p w:rsidR="002443C3" w:rsidRDefault="002443C3" w:rsidP="002443C3">
      <w:pPr>
        <w:pStyle w:val="BodyTextIndent"/>
        <w:tabs>
          <w:tab w:val="clear" w:pos="720"/>
        </w:tabs>
        <w:spacing w:before="120" w:after="120"/>
        <w:ind w:left="1440" w:firstLine="0"/>
      </w:pPr>
      <w:r>
        <w:t>Next, we compute the present value of the dividends to be paid in 2010, 2011 and 2012:</w:t>
      </w:r>
    </w:p>
    <w:p w:rsidR="002443C3" w:rsidRDefault="002443C3" w:rsidP="002443C3">
      <w:pPr>
        <w:pStyle w:val="BodyTextIndent"/>
        <w:tabs>
          <w:tab w:val="clear" w:pos="720"/>
        </w:tabs>
        <w:spacing w:line="360" w:lineRule="auto"/>
        <w:ind w:left="2160" w:firstLine="0"/>
      </w:pPr>
      <w:r w:rsidRPr="005160D7">
        <w:rPr>
          <w:noProof/>
          <w:position w:val="-24"/>
        </w:rPr>
        <w:object w:dxaOrig="4860" w:dyaOrig="620">
          <v:shape id="_x0000_i1062" type="#_x0000_t75" style="width:243pt;height:30.75pt" o:ole="" fillcolor="window">
            <v:imagedata r:id="rId83" o:title=""/>
          </v:shape>
          <o:OLEObject Type="Embed" ProgID="Equation.3" ShapeID="_x0000_i1062" DrawAspect="Content" ObjectID="_1355990240" r:id="rId84"/>
        </w:object>
      </w:r>
      <w:r>
        <w:rPr>
          <w:noProof/>
        </w:rPr>
        <w:t>$121,012,624</w:t>
      </w:r>
    </w:p>
    <w:p w:rsidR="002443C3" w:rsidRDefault="002443C3" w:rsidP="002443C3">
      <w:pPr>
        <w:pStyle w:val="BodyTextIndent"/>
        <w:tabs>
          <w:tab w:val="clear" w:pos="720"/>
        </w:tabs>
        <w:spacing w:after="120"/>
        <w:ind w:left="1440" w:right="180" w:firstLine="0"/>
      </w:pPr>
      <w:r>
        <w:t xml:space="preserve">The present value of dividends to be paid in 2013 and subsequent years can be computed by recognizing that both revenues and expenses can be treated as growing perpetuities.  Since production will decrease 7% </w:t>
      </w:r>
    </w:p>
    <w:p w:rsidR="002443C3" w:rsidRDefault="002443C3" w:rsidP="002443C3">
      <w:pPr>
        <w:pStyle w:val="BodyTextIndent"/>
        <w:tabs>
          <w:tab w:val="clear" w:pos="720"/>
        </w:tabs>
        <w:spacing w:after="120"/>
        <w:ind w:left="1440" w:right="180" w:firstLine="0"/>
      </w:pPr>
      <w:r>
        <w:br w:type="page"/>
      </w:r>
      <w:r>
        <w:lastRenderedPageBreak/>
        <w:t>per year while costs per barrel remain constant, the growth rate of expenses is: –7.0%</w:t>
      </w:r>
    </w:p>
    <w:p w:rsidR="002443C3" w:rsidRDefault="002443C3" w:rsidP="002443C3">
      <w:pPr>
        <w:pStyle w:val="BodyTextIndent"/>
        <w:tabs>
          <w:tab w:val="clear" w:pos="720"/>
        </w:tabs>
        <w:spacing w:after="120"/>
        <w:ind w:left="1440" w:firstLine="0"/>
      </w:pPr>
      <w:r>
        <w:t>To compute the growth rate of revenues, we use the fact that production decreases 7% per year while the price of oil increases 5% per year, so that the growth rate of revenues is:</w:t>
      </w:r>
    </w:p>
    <w:p w:rsidR="002443C3" w:rsidRDefault="002443C3" w:rsidP="002443C3">
      <w:pPr>
        <w:pStyle w:val="BodyTextIndent"/>
        <w:tabs>
          <w:tab w:val="clear" w:pos="720"/>
        </w:tabs>
        <w:spacing w:line="360" w:lineRule="auto"/>
        <w:ind w:left="2160" w:firstLine="0"/>
      </w:pPr>
      <w:r>
        <w:t xml:space="preserve">[1.05 </w:t>
      </w:r>
      <w:r>
        <w:rPr>
          <w:rFonts w:cs="Arial"/>
        </w:rPr>
        <w:t>×</w:t>
      </w:r>
      <w:r>
        <w:t xml:space="preserve"> (1 – 0.07)] – 1 = –0.0235 = –2.35%</w:t>
      </w:r>
    </w:p>
    <w:p w:rsidR="002443C3" w:rsidRDefault="002443C3" w:rsidP="002443C3">
      <w:pPr>
        <w:pStyle w:val="BodyTextIndent"/>
        <w:tabs>
          <w:tab w:val="clear" w:pos="720"/>
        </w:tabs>
        <w:spacing w:after="120"/>
        <w:ind w:left="1440" w:firstLine="0"/>
      </w:pPr>
      <w:r>
        <w:t>Therefore, the present value (in 2012) of revenues beginning in 2013 is:</w:t>
      </w:r>
    </w:p>
    <w:p w:rsidR="002443C3" w:rsidRDefault="002443C3" w:rsidP="002443C3">
      <w:pPr>
        <w:pStyle w:val="BodyTextIndent"/>
        <w:tabs>
          <w:tab w:val="clear" w:pos="720"/>
        </w:tabs>
        <w:spacing w:line="360" w:lineRule="auto"/>
        <w:ind w:left="2160" w:firstLine="0"/>
        <w:rPr>
          <w:noProof/>
        </w:rPr>
      </w:pPr>
      <w:r w:rsidRPr="000B655F">
        <w:rPr>
          <w:noProof/>
          <w:position w:val="-30"/>
        </w:rPr>
        <w:object w:dxaOrig="4300" w:dyaOrig="680">
          <v:shape id="_x0000_i1063" type="#_x0000_t75" style="width:215.25pt;height:33.75pt" o:ole="" fillcolor="window">
            <v:imagedata r:id="rId85" o:title=""/>
          </v:shape>
          <o:OLEObject Type="Embed" ProgID="Equation.3" ShapeID="_x0000_i1063" DrawAspect="Content" ObjectID="_1355990241" r:id="rId86"/>
        </w:object>
      </w:r>
    </w:p>
    <w:p w:rsidR="002443C3" w:rsidRDefault="002443C3" w:rsidP="002443C3">
      <w:pPr>
        <w:pStyle w:val="BodyTextIndent"/>
        <w:tabs>
          <w:tab w:val="clear" w:pos="720"/>
        </w:tabs>
        <w:spacing w:after="120"/>
        <w:ind w:left="1440" w:firstLine="0"/>
      </w:pPr>
      <w:r>
        <w:t>Similarly, the present value (in 2012) of expenses beginning in 2013 is:</w:t>
      </w:r>
    </w:p>
    <w:p w:rsidR="002443C3" w:rsidRDefault="002443C3" w:rsidP="002443C3">
      <w:pPr>
        <w:pStyle w:val="BodyTextIndent"/>
        <w:tabs>
          <w:tab w:val="clear" w:pos="720"/>
        </w:tabs>
        <w:spacing w:line="360" w:lineRule="auto"/>
        <w:ind w:left="2160" w:firstLine="0"/>
      </w:pPr>
      <w:r w:rsidRPr="000B655F">
        <w:rPr>
          <w:noProof/>
          <w:position w:val="-30"/>
        </w:rPr>
        <w:object w:dxaOrig="4040" w:dyaOrig="680">
          <v:shape id="_x0000_i1064" type="#_x0000_t75" style="width:201.75pt;height:33.75pt" o:ole="" fillcolor="window">
            <v:imagedata r:id="rId87" o:title=""/>
          </v:shape>
          <o:OLEObject Type="Embed" ProgID="Equation.3" ShapeID="_x0000_i1064" DrawAspect="Content" ObjectID="_1355990242" r:id="rId88"/>
        </w:object>
      </w:r>
    </w:p>
    <w:p w:rsidR="002443C3" w:rsidRDefault="002443C3" w:rsidP="002443C3">
      <w:pPr>
        <w:pStyle w:val="BodyTextIndent"/>
        <w:tabs>
          <w:tab w:val="clear" w:pos="720"/>
        </w:tabs>
        <w:spacing w:after="120"/>
        <w:ind w:left="1440" w:right="360" w:firstLine="0"/>
      </w:pPr>
      <w:r>
        <w:t>Subtracting these present values gives the present value (in 2012) of net income, and then discounting back three years to 2009, we find that the present value of dividends paid in 2013 and subsequent years is: $318,477,671</w:t>
      </w:r>
    </w:p>
    <w:p w:rsidR="002443C3" w:rsidRDefault="002443C3" w:rsidP="002443C3">
      <w:pPr>
        <w:pStyle w:val="BodyTextIndent"/>
        <w:tabs>
          <w:tab w:val="clear" w:pos="720"/>
        </w:tabs>
        <w:spacing w:after="120"/>
        <w:ind w:left="1440" w:firstLine="0"/>
      </w:pPr>
      <w:r>
        <w:t>The total value of the company is:</w:t>
      </w:r>
    </w:p>
    <w:p w:rsidR="002443C3" w:rsidRDefault="002443C3" w:rsidP="002443C3">
      <w:pPr>
        <w:pStyle w:val="BodyTextIndent"/>
        <w:tabs>
          <w:tab w:val="clear" w:pos="720"/>
        </w:tabs>
        <w:spacing w:after="120"/>
        <w:ind w:left="2160" w:firstLine="0"/>
      </w:pPr>
      <w:r>
        <w:t>$121,012,624 + $318,477,671 = $439,490,295</w:t>
      </w:r>
    </w:p>
    <w:p w:rsidR="002443C3" w:rsidRDefault="002443C3" w:rsidP="002443C3">
      <w:pPr>
        <w:pStyle w:val="BodyTextIndent"/>
        <w:tabs>
          <w:tab w:val="clear" w:pos="720"/>
        </w:tabs>
        <w:spacing w:after="120"/>
        <w:ind w:left="1440" w:right="360" w:firstLine="0"/>
      </w:pPr>
      <w:r>
        <w:t>Since there are 7,000,000 shares outstanding, the present value per share is:</w:t>
      </w:r>
    </w:p>
    <w:p w:rsidR="002443C3" w:rsidRDefault="002443C3" w:rsidP="002443C3">
      <w:pPr>
        <w:pStyle w:val="BodyTextIndent"/>
        <w:tabs>
          <w:tab w:val="clear" w:pos="720"/>
        </w:tabs>
        <w:ind w:left="2160" w:firstLine="0"/>
      </w:pPr>
      <w:r>
        <w:t>$439,490,295</w:t>
      </w:r>
      <w:r w:rsidRPr="00E37CB5">
        <w:rPr>
          <w:sz w:val="16"/>
          <w:szCs w:val="16"/>
        </w:rPr>
        <w:t xml:space="preserve"> </w:t>
      </w:r>
      <w:r>
        <w:t>/</w:t>
      </w:r>
      <w:r w:rsidRPr="00E37CB5">
        <w:rPr>
          <w:sz w:val="16"/>
          <w:szCs w:val="16"/>
        </w:rPr>
        <w:t xml:space="preserve"> </w:t>
      </w:r>
      <w:r>
        <w:t>7,000,000 = $62.78</w:t>
      </w:r>
    </w:p>
    <w:p w:rsidR="002443C3" w:rsidRDefault="002443C3" w:rsidP="002443C3">
      <w:pPr>
        <w:pStyle w:val="BodyTextIndent"/>
        <w:tabs>
          <w:tab w:val="clear" w:pos="720"/>
        </w:tabs>
        <w:spacing w:after="120"/>
        <w:ind w:left="1440"/>
      </w:pPr>
    </w:p>
    <w:p w:rsidR="002443C3" w:rsidRDefault="002443C3" w:rsidP="002443C3">
      <w:pPr>
        <w:pStyle w:val="BodyTextIndent"/>
        <w:tabs>
          <w:tab w:val="clear" w:pos="720"/>
        </w:tabs>
        <w:spacing w:after="120"/>
        <w:ind w:left="1440"/>
      </w:pPr>
      <w:r>
        <w:t>b.</w:t>
      </w:r>
      <w:r>
        <w:tab/>
        <w:t>EPS</w:t>
      </w:r>
      <w:r>
        <w:rPr>
          <w:szCs w:val="24"/>
          <w:vertAlign w:val="subscript"/>
        </w:rPr>
        <w:t>2009</w:t>
      </w:r>
      <w:r>
        <w:t xml:space="preserve"> = $72,000,000/7,000,000 = $10.29</w:t>
      </w:r>
    </w:p>
    <w:p w:rsidR="002443C3" w:rsidRDefault="002443C3" w:rsidP="002443C3">
      <w:pPr>
        <w:pStyle w:val="BodyTextIndent"/>
        <w:tabs>
          <w:tab w:val="clear" w:pos="720"/>
        </w:tabs>
        <w:ind w:left="1440" w:firstLine="0"/>
      </w:pPr>
      <w:r>
        <w:t>EPS/P = $10.29/$62.78 = 0.164</w:t>
      </w:r>
    </w:p>
    <w:p w:rsidR="002443C3" w:rsidRDefault="002443C3" w:rsidP="002443C3">
      <w:pPr>
        <w:pStyle w:val="BodyTextIndent"/>
        <w:tabs>
          <w:tab w:val="clear" w:pos="720"/>
        </w:tabs>
        <w:spacing w:line="220" w:lineRule="exact"/>
        <w:ind w:left="0" w:firstLine="0"/>
      </w:pPr>
    </w:p>
    <w:p w:rsidR="002443C3" w:rsidRDefault="002443C3" w:rsidP="002443C3">
      <w:pPr>
        <w:spacing w:line="220" w:lineRule="exact"/>
        <w:rPr>
          <w:rFonts w:cs="Arial"/>
        </w:rPr>
      </w:pPr>
    </w:p>
    <w:p w:rsidR="002443C3" w:rsidRDefault="002443C3" w:rsidP="002443C3">
      <w:pPr>
        <w:spacing w:after="120"/>
        <w:ind w:left="720" w:hanging="720"/>
        <w:rPr>
          <w:rFonts w:cs="Arial"/>
        </w:rPr>
      </w:pPr>
      <w:r>
        <w:rPr>
          <w:rFonts w:cs="Arial"/>
        </w:rPr>
        <w:t>26.</w:t>
      </w:r>
      <w:r>
        <w:rPr>
          <w:rFonts w:cs="Arial"/>
        </w:rPr>
        <w:tab/>
        <w:t>[Note: In this problem, the long-term growth rate, in year 9 and all later years, should be 8%.]</w:t>
      </w:r>
    </w:p>
    <w:p w:rsidR="002443C3" w:rsidRDefault="002443C3" w:rsidP="002443C3">
      <w:pPr>
        <w:spacing w:after="120"/>
        <w:ind w:left="720"/>
        <w:rPr>
          <w:rFonts w:cs="Arial"/>
        </w:rPr>
      </w:pPr>
      <w:r>
        <w:rPr>
          <w:rFonts w:cs="Arial"/>
        </w:rPr>
        <w:t>The free cash flow for years 1 through 10 is computed in the following table:</w:t>
      </w:r>
    </w:p>
    <w:tbl>
      <w:tblPr>
        <w:tblW w:w="9720" w:type="dxa"/>
        <w:tblInd w:w="108" w:type="dxa"/>
        <w:tblLayout w:type="fixed"/>
        <w:tblLook w:val="0000"/>
      </w:tblPr>
      <w:tblGrid>
        <w:gridCol w:w="1685"/>
        <w:gridCol w:w="803"/>
        <w:gridCol w:w="804"/>
        <w:gridCol w:w="803"/>
        <w:gridCol w:w="804"/>
        <w:gridCol w:w="803"/>
        <w:gridCol w:w="804"/>
        <w:gridCol w:w="803"/>
        <w:gridCol w:w="804"/>
        <w:gridCol w:w="803"/>
        <w:gridCol w:w="804"/>
      </w:tblGrid>
      <w:tr w:rsidR="002443C3" w:rsidTr="002443C3">
        <w:trPr>
          <w:trHeight w:val="255"/>
        </w:trPr>
        <w:tc>
          <w:tcPr>
            <w:tcW w:w="1685" w:type="dxa"/>
            <w:tcBorders>
              <w:top w:val="nil"/>
              <w:left w:val="nil"/>
              <w:bottom w:val="nil"/>
              <w:right w:val="nil"/>
            </w:tcBorders>
            <w:shd w:val="clear" w:color="auto" w:fill="auto"/>
            <w:noWrap/>
            <w:vAlign w:val="bottom"/>
          </w:tcPr>
          <w:p w:rsidR="002443C3" w:rsidRDefault="002443C3" w:rsidP="002443C3">
            <w:pPr>
              <w:rPr>
                <w:rFonts w:cs="Arial"/>
                <w:sz w:val="20"/>
              </w:rPr>
            </w:pPr>
          </w:p>
        </w:tc>
        <w:tc>
          <w:tcPr>
            <w:tcW w:w="803"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4"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3"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4"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1607" w:type="dxa"/>
            <w:gridSpan w:val="2"/>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r w:rsidRPr="00F86BCB">
              <w:rPr>
                <w:rFonts w:cs="Arial"/>
                <w:b/>
                <w:sz w:val="20"/>
              </w:rPr>
              <w:t>Year</w:t>
            </w:r>
          </w:p>
        </w:tc>
        <w:tc>
          <w:tcPr>
            <w:tcW w:w="803"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4"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3"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c>
          <w:tcPr>
            <w:tcW w:w="804" w:type="dxa"/>
            <w:tcBorders>
              <w:top w:val="nil"/>
              <w:left w:val="nil"/>
              <w:bottom w:val="single" w:sz="4" w:space="0" w:color="auto"/>
              <w:right w:val="nil"/>
            </w:tcBorders>
            <w:shd w:val="clear" w:color="auto" w:fill="auto"/>
            <w:noWrap/>
            <w:vAlign w:val="bottom"/>
          </w:tcPr>
          <w:p w:rsidR="002443C3" w:rsidRDefault="002443C3" w:rsidP="002443C3">
            <w:pPr>
              <w:jc w:val="center"/>
              <w:rPr>
                <w:rFonts w:cs="Arial"/>
                <w:sz w:val="20"/>
              </w:rPr>
            </w:pPr>
          </w:p>
        </w:tc>
      </w:tr>
      <w:tr w:rsidR="002443C3" w:rsidTr="002443C3">
        <w:trPr>
          <w:trHeight w:val="255"/>
        </w:trPr>
        <w:tc>
          <w:tcPr>
            <w:tcW w:w="1685" w:type="dxa"/>
            <w:tcBorders>
              <w:top w:val="nil"/>
              <w:left w:val="nil"/>
              <w:bottom w:val="single" w:sz="4" w:space="0" w:color="auto"/>
              <w:right w:val="nil"/>
            </w:tcBorders>
            <w:shd w:val="clear" w:color="auto" w:fill="auto"/>
            <w:noWrap/>
            <w:vAlign w:val="bottom"/>
          </w:tcPr>
          <w:p w:rsidR="002443C3" w:rsidRDefault="002443C3" w:rsidP="002443C3">
            <w:pPr>
              <w:rPr>
                <w:rFonts w:cs="Arial"/>
                <w:sz w:val="20"/>
              </w:rPr>
            </w:pPr>
          </w:p>
        </w:tc>
        <w:tc>
          <w:tcPr>
            <w:tcW w:w="803"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1</w:t>
            </w:r>
          </w:p>
        </w:tc>
        <w:tc>
          <w:tcPr>
            <w:tcW w:w="804"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2</w:t>
            </w:r>
          </w:p>
        </w:tc>
        <w:tc>
          <w:tcPr>
            <w:tcW w:w="803"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3</w:t>
            </w:r>
          </w:p>
        </w:tc>
        <w:tc>
          <w:tcPr>
            <w:tcW w:w="804"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4</w:t>
            </w:r>
          </w:p>
        </w:tc>
        <w:tc>
          <w:tcPr>
            <w:tcW w:w="803"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5</w:t>
            </w:r>
          </w:p>
        </w:tc>
        <w:tc>
          <w:tcPr>
            <w:tcW w:w="804"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6</w:t>
            </w:r>
          </w:p>
        </w:tc>
        <w:tc>
          <w:tcPr>
            <w:tcW w:w="803"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7</w:t>
            </w:r>
          </w:p>
        </w:tc>
        <w:tc>
          <w:tcPr>
            <w:tcW w:w="804"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8</w:t>
            </w:r>
          </w:p>
        </w:tc>
        <w:tc>
          <w:tcPr>
            <w:tcW w:w="803"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9</w:t>
            </w:r>
          </w:p>
        </w:tc>
        <w:tc>
          <w:tcPr>
            <w:tcW w:w="804" w:type="dxa"/>
            <w:tcBorders>
              <w:top w:val="single" w:sz="4" w:space="0" w:color="auto"/>
              <w:left w:val="nil"/>
              <w:bottom w:val="single" w:sz="4" w:space="0" w:color="auto"/>
              <w:right w:val="nil"/>
            </w:tcBorders>
            <w:shd w:val="clear" w:color="auto" w:fill="auto"/>
            <w:noWrap/>
            <w:vAlign w:val="bottom"/>
          </w:tcPr>
          <w:p w:rsidR="002443C3" w:rsidRPr="00F86BCB" w:rsidRDefault="002443C3" w:rsidP="002443C3">
            <w:pPr>
              <w:jc w:val="center"/>
              <w:rPr>
                <w:rFonts w:cs="Arial"/>
                <w:b/>
                <w:sz w:val="20"/>
              </w:rPr>
            </w:pPr>
            <w:r w:rsidRPr="00F86BCB">
              <w:rPr>
                <w:rFonts w:cs="Arial"/>
                <w:b/>
                <w:sz w:val="20"/>
              </w:rPr>
              <w:t>10</w:t>
            </w:r>
          </w:p>
        </w:tc>
      </w:tr>
      <w:tr w:rsidR="002443C3" w:rsidTr="002443C3">
        <w:trPr>
          <w:trHeight w:val="255"/>
        </w:trPr>
        <w:tc>
          <w:tcPr>
            <w:tcW w:w="1685" w:type="dxa"/>
            <w:tcBorders>
              <w:top w:val="single" w:sz="4" w:space="0" w:color="auto"/>
              <w:left w:val="nil"/>
              <w:bottom w:val="nil"/>
              <w:right w:val="nil"/>
            </w:tcBorders>
            <w:shd w:val="clear" w:color="auto" w:fill="auto"/>
            <w:noWrap/>
            <w:vAlign w:val="bottom"/>
          </w:tcPr>
          <w:p w:rsidR="002443C3" w:rsidRDefault="002443C3" w:rsidP="002443C3">
            <w:pPr>
              <w:rPr>
                <w:rFonts w:cs="Arial"/>
                <w:sz w:val="20"/>
              </w:rPr>
            </w:pPr>
            <w:r>
              <w:rPr>
                <w:rFonts w:cs="Arial"/>
                <w:sz w:val="20"/>
              </w:rPr>
              <w:t>Asset value</w:t>
            </w:r>
          </w:p>
        </w:tc>
        <w:tc>
          <w:tcPr>
            <w:tcW w:w="803"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10.00</w:t>
            </w:r>
          </w:p>
        </w:tc>
        <w:tc>
          <w:tcPr>
            <w:tcW w:w="804"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12.00</w:t>
            </w:r>
          </w:p>
        </w:tc>
        <w:tc>
          <w:tcPr>
            <w:tcW w:w="803"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14.40</w:t>
            </w:r>
          </w:p>
        </w:tc>
        <w:tc>
          <w:tcPr>
            <w:tcW w:w="804"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17.28</w:t>
            </w:r>
          </w:p>
        </w:tc>
        <w:tc>
          <w:tcPr>
            <w:tcW w:w="803"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20.74</w:t>
            </w:r>
          </w:p>
        </w:tc>
        <w:tc>
          <w:tcPr>
            <w:tcW w:w="804"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23.12</w:t>
            </w:r>
          </w:p>
        </w:tc>
        <w:tc>
          <w:tcPr>
            <w:tcW w:w="803"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25.66</w:t>
            </w:r>
          </w:p>
        </w:tc>
        <w:tc>
          <w:tcPr>
            <w:tcW w:w="804"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28.36</w:t>
            </w:r>
          </w:p>
        </w:tc>
        <w:tc>
          <w:tcPr>
            <w:tcW w:w="803"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30.63</w:t>
            </w:r>
          </w:p>
        </w:tc>
        <w:tc>
          <w:tcPr>
            <w:tcW w:w="804" w:type="dxa"/>
            <w:tcBorders>
              <w:top w:val="single" w:sz="4" w:space="0" w:color="auto"/>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33.08</w:t>
            </w:r>
          </w:p>
        </w:tc>
      </w:tr>
      <w:tr w:rsidR="002443C3" w:rsidTr="002443C3">
        <w:trPr>
          <w:trHeight w:val="255"/>
        </w:trPr>
        <w:tc>
          <w:tcPr>
            <w:tcW w:w="1685" w:type="dxa"/>
            <w:tcBorders>
              <w:top w:val="nil"/>
              <w:left w:val="nil"/>
              <w:bottom w:val="nil"/>
              <w:right w:val="nil"/>
            </w:tcBorders>
            <w:shd w:val="clear" w:color="auto" w:fill="auto"/>
            <w:noWrap/>
            <w:vAlign w:val="bottom"/>
          </w:tcPr>
          <w:p w:rsidR="002443C3" w:rsidRDefault="002443C3" w:rsidP="002443C3">
            <w:pPr>
              <w:rPr>
                <w:rFonts w:cs="Arial"/>
                <w:sz w:val="20"/>
              </w:rPr>
            </w:pPr>
            <w:r>
              <w:rPr>
                <w:rFonts w:cs="Arial"/>
                <w:sz w:val="20"/>
              </w:rPr>
              <w:t>Earnings</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1.20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1.44</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1.73</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2.07</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2.49</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2.77</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3.08</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3.40</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3.68</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3.97</w:t>
            </w:r>
          </w:p>
        </w:tc>
      </w:tr>
      <w:tr w:rsidR="002443C3" w:rsidTr="002443C3">
        <w:trPr>
          <w:trHeight w:val="255"/>
        </w:trPr>
        <w:tc>
          <w:tcPr>
            <w:tcW w:w="1685" w:type="dxa"/>
            <w:tcBorders>
              <w:top w:val="nil"/>
              <w:left w:val="nil"/>
              <w:bottom w:val="nil"/>
              <w:right w:val="nil"/>
            </w:tcBorders>
            <w:shd w:val="clear" w:color="auto" w:fill="auto"/>
            <w:noWrap/>
            <w:vAlign w:val="bottom"/>
          </w:tcPr>
          <w:p w:rsidR="002443C3" w:rsidRDefault="002443C3" w:rsidP="002443C3">
            <w:pPr>
              <w:rPr>
                <w:rFonts w:cs="Arial"/>
                <w:sz w:val="20"/>
              </w:rPr>
            </w:pPr>
            <w:r>
              <w:rPr>
                <w:rFonts w:cs="Arial"/>
                <w:sz w:val="20"/>
              </w:rPr>
              <w:t>Investment</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2.40</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2.88</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3.46</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2.38</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2.54</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2.69</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2.27</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2.45</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2.65</w:t>
            </w:r>
          </w:p>
        </w:tc>
      </w:tr>
      <w:tr w:rsidR="002443C3" w:rsidTr="002443C3">
        <w:trPr>
          <w:trHeight w:val="255"/>
        </w:trPr>
        <w:tc>
          <w:tcPr>
            <w:tcW w:w="1685" w:type="dxa"/>
            <w:tcBorders>
              <w:top w:val="nil"/>
              <w:left w:val="nil"/>
              <w:bottom w:val="nil"/>
              <w:right w:val="nil"/>
            </w:tcBorders>
            <w:shd w:val="clear" w:color="auto" w:fill="auto"/>
            <w:noWrap/>
            <w:vAlign w:val="bottom"/>
          </w:tcPr>
          <w:p w:rsidR="002443C3" w:rsidRDefault="002443C3" w:rsidP="002443C3">
            <w:pPr>
              <w:rPr>
                <w:rFonts w:cs="Arial"/>
                <w:sz w:val="20"/>
              </w:rPr>
            </w:pPr>
            <w:r>
              <w:rPr>
                <w:rFonts w:cs="Arial"/>
                <w:sz w:val="20"/>
              </w:rPr>
              <w:t>Free cash flow</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-0.80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-0.96</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-1.15</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-1.38</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0.10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0.23</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0.38</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1.13</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1.23</w:t>
            </w:r>
          </w:p>
        </w:tc>
        <w:tc>
          <w:tcPr>
            <w:tcW w:w="804" w:type="dxa"/>
            <w:tcBorders>
              <w:top w:val="nil"/>
              <w:left w:val="nil"/>
              <w:bottom w:val="nil"/>
              <w:right w:val="nil"/>
            </w:tcBorders>
            <w:shd w:val="clear" w:color="auto" w:fill="auto"/>
            <w:noWrap/>
            <w:vAlign w:val="bottom"/>
          </w:tcPr>
          <w:p w:rsidR="002443C3" w:rsidRPr="006E6423" w:rsidRDefault="002443C3" w:rsidP="002443C3">
            <w:pPr>
              <w:jc w:val="right"/>
              <w:rPr>
                <w:rFonts w:cs="Arial"/>
                <w:bCs/>
                <w:sz w:val="20"/>
              </w:rPr>
            </w:pPr>
            <w:r w:rsidRPr="006E6423">
              <w:rPr>
                <w:rFonts w:cs="Arial"/>
                <w:bCs/>
                <w:sz w:val="20"/>
              </w:rPr>
              <w:t>1.32</w:t>
            </w:r>
          </w:p>
        </w:tc>
      </w:tr>
      <w:tr w:rsidR="002443C3" w:rsidTr="002443C3">
        <w:trPr>
          <w:trHeight w:val="255"/>
        </w:trPr>
        <w:tc>
          <w:tcPr>
            <w:tcW w:w="1685" w:type="dxa"/>
            <w:tcBorders>
              <w:top w:val="nil"/>
              <w:left w:val="nil"/>
              <w:bottom w:val="nil"/>
              <w:right w:val="nil"/>
            </w:tcBorders>
            <w:shd w:val="clear" w:color="auto" w:fill="auto"/>
            <w:noWrap/>
            <w:vAlign w:val="bottom"/>
          </w:tcPr>
          <w:p w:rsidR="002443C3" w:rsidRDefault="002443C3" w:rsidP="002443C3">
            <w:pPr>
              <w:ind w:right="-43"/>
              <w:rPr>
                <w:rFonts w:cs="Arial"/>
                <w:sz w:val="20"/>
              </w:rPr>
            </w:pPr>
            <w:r>
              <w:rPr>
                <w:rFonts w:cs="Arial"/>
                <w:sz w:val="20"/>
              </w:rPr>
              <w:t>Earnings growth</w:t>
            </w:r>
          </w:p>
          <w:p w:rsidR="002443C3" w:rsidRDefault="002443C3" w:rsidP="002443C3">
            <w:pPr>
              <w:ind w:right="-43"/>
              <w:rPr>
                <w:rFonts w:cs="Arial"/>
                <w:sz w:val="20"/>
              </w:rPr>
            </w:pPr>
            <w:r>
              <w:rPr>
                <w:rFonts w:cs="Arial"/>
                <w:sz w:val="20"/>
              </w:rPr>
              <w:t>from previous</w:t>
            </w:r>
          </w:p>
          <w:p w:rsidR="002443C3" w:rsidRDefault="002443C3" w:rsidP="002443C3">
            <w:pPr>
              <w:ind w:right="-43"/>
              <w:rPr>
                <w:rFonts w:cs="Arial"/>
                <w:sz w:val="20"/>
              </w:rPr>
            </w:pPr>
            <w:r>
              <w:rPr>
                <w:rFonts w:cs="Arial"/>
                <w:sz w:val="20"/>
              </w:rPr>
              <w:t>period</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20.0%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11.5%</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11.0%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10.5%</w:t>
            </w:r>
          </w:p>
        </w:tc>
        <w:tc>
          <w:tcPr>
            <w:tcW w:w="803"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8.0%</w:t>
            </w:r>
          </w:p>
        </w:tc>
        <w:tc>
          <w:tcPr>
            <w:tcW w:w="804" w:type="dxa"/>
            <w:tcBorders>
              <w:top w:val="nil"/>
              <w:left w:val="nil"/>
              <w:bottom w:val="nil"/>
              <w:right w:val="nil"/>
            </w:tcBorders>
            <w:shd w:val="clear" w:color="auto" w:fill="auto"/>
            <w:noWrap/>
            <w:vAlign w:val="bottom"/>
          </w:tcPr>
          <w:p w:rsidR="002443C3" w:rsidRDefault="002443C3" w:rsidP="002443C3">
            <w:pPr>
              <w:jc w:val="right"/>
              <w:rPr>
                <w:rFonts w:cs="Arial"/>
                <w:sz w:val="20"/>
              </w:rPr>
            </w:pPr>
            <w:r>
              <w:rPr>
                <w:rFonts w:cs="Arial"/>
                <w:sz w:val="20"/>
              </w:rPr>
              <w:t>8.0%</w:t>
            </w:r>
          </w:p>
        </w:tc>
      </w:tr>
    </w:tbl>
    <w:p w:rsidR="002443C3" w:rsidRDefault="002443C3" w:rsidP="002443C3">
      <w:pPr>
        <w:spacing w:before="120" w:after="120"/>
        <w:ind w:left="720"/>
        <w:rPr>
          <w:rFonts w:cs="Arial"/>
        </w:rPr>
      </w:pPr>
    </w:p>
    <w:p w:rsidR="002443C3" w:rsidRDefault="002443C3" w:rsidP="002443C3">
      <w:pPr>
        <w:spacing w:before="120" w:after="120"/>
        <w:ind w:left="720"/>
        <w:rPr>
          <w:rFonts w:cs="Arial"/>
        </w:rPr>
      </w:pPr>
      <w:r>
        <w:rPr>
          <w:rFonts w:cs="Arial"/>
        </w:rPr>
        <w:br w:type="page"/>
      </w:r>
      <w:r>
        <w:rPr>
          <w:rFonts w:cs="Arial"/>
        </w:rPr>
        <w:lastRenderedPageBreak/>
        <w:t>Computing the present value of the free cash flows, following the approach from Section 4.5, we find that the present value of the free cash flows occurring in years 1 through 7 is:</w:t>
      </w:r>
    </w:p>
    <w:p w:rsidR="002443C3" w:rsidRDefault="002443C3" w:rsidP="002443C3">
      <w:pPr>
        <w:pStyle w:val="BodyTextIndent"/>
        <w:tabs>
          <w:tab w:val="clear" w:pos="720"/>
        </w:tabs>
        <w:spacing w:line="360" w:lineRule="auto"/>
        <w:ind w:left="1440" w:firstLine="0"/>
        <w:rPr>
          <w:rFonts w:cs="Arial"/>
        </w:rPr>
      </w:pPr>
      <w:r w:rsidRPr="00E32258">
        <w:rPr>
          <w:noProof/>
          <w:position w:val="-24"/>
        </w:rPr>
        <w:object w:dxaOrig="5420" w:dyaOrig="620">
          <v:shape id="_x0000_i1065" type="#_x0000_t75" style="width:270.75pt;height:30.75pt" o:ole="" fillcolor="window">
            <v:imagedata r:id="rId89" o:title=""/>
          </v:shape>
          <o:OLEObject Type="Embed" ProgID="Equation.3" ShapeID="_x0000_i1065" DrawAspect="Content" ObjectID="_1355990243" r:id="rId90"/>
        </w:object>
      </w:r>
      <w:r w:rsidRPr="00E32258">
        <w:rPr>
          <w:noProof/>
          <w:position w:val="-24"/>
        </w:rPr>
        <w:object w:dxaOrig="1100" w:dyaOrig="620">
          <v:shape id="_x0000_i1066" type="#_x0000_t75" style="width:54.75pt;height:30.75pt" o:ole="" fillcolor="window">
            <v:imagedata r:id="rId91" o:title=""/>
          </v:shape>
          <o:OLEObject Type="Embed" ProgID="Equation.3" ShapeID="_x0000_i1066" DrawAspect="Content" ObjectID="_1355990244" r:id="rId92"/>
        </w:object>
      </w:r>
      <w:r>
        <w:rPr>
          <w:rFonts w:cs="Arial"/>
        </w:rPr>
        <w:t>-$2.94</w:t>
      </w:r>
    </w:p>
    <w:p w:rsidR="002443C3" w:rsidRDefault="002443C3" w:rsidP="002443C3">
      <w:pPr>
        <w:spacing w:after="120"/>
        <w:ind w:left="1440" w:hanging="720"/>
        <w:rPr>
          <w:rFonts w:cs="Arial"/>
        </w:rPr>
      </w:pPr>
      <w:r>
        <w:rPr>
          <w:rFonts w:cs="Arial"/>
        </w:rPr>
        <w:t>The present value of the growing perpetuity that begins in year 8 is:</w:t>
      </w:r>
    </w:p>
    <w:p w:rsidR="002443C3" w:rsidRDefault="002443C3" w:rsidP="002443C3">
      <w:pPr>
        <w:pStyle w:val="BodyTextIndent"/>
        <w:tabs>
          <w:tab w:val="clear" w:pos="720"/>
        </w:tabs>
        <w:spacing w:line="360" w:lineRule="auto"/>
        <w:ind w:left="1440" w:firstLine="0"/>
        <w:rPr>
          <w:noProof/>
        </w:rPr>
      </w:pPr>
      <w:r w:rsidRPr="009B7532">
        <w:rPr>
          <w:noProof/>
          <w:position w:val="-32"/>
        </w:rPr>
        <w:object w:dxaOrig="4120" w:dyaOrig="760">
          <v:shape id="_x0000_i1067" type="#_x0000_t75" style="width:206.25pt;height:38.25pt" o:ole="" fillcolor="window">
            <v:imagedata r:id="rId93" o:title=""/>
          </v:shape>
          <o:OLEObject Type="Embed" ProgID="Equation.3" ShapeID="_x0000_i1067" DrawAspect="Content" ObjectID="_1355990245" r:id="rId94"/>
        </w:object>
      </w:r>
    </w:p>
    <w:p w:rsidR="002443C3" w:rsidRDefault="002443C3" w:rsidP="002443C3">
      <w:pPr>
        <w:spacing w:after="120"/>
        <w:ind w:left="720"/>
        <w:rPr>
          <w:rFonts w:cs="Arial"/>
        </w:rPr>
      </w:pPr>
      <w:r>
        <w:rPr>
          <w:rFonts w:cs="Arial"/>
        </w:rPr>
        <w:t>Therefore, the present value of the business is:</w:t>
      </w:r>
    </w:p>
    <w:p w:rsidR="002443C3" w:rsidRPr="006E6423" w:rsidRDefault="002443C3" w:rsidP="002443C3">
      <w:pPr>
        <w:ind w:left="1440"/>
        <w:rPr>
          <w:rFonts w:cs="Arial"/>
        </w:rPr>
      </w:pPr>
      <w:r>
        <w:rPr>
          <w:rFonts w:cs="Arial"/>
        </w:rPr>
        <w:t>-$2.94 + $29.10 = $26.16 million</w:t>
      </w:r>
    </w:p>
    <w:p w:rsidR="002443C3" w:rsidRPr="0026421F" w:rsidRDefault="002443C3" w:rsidP="002443C3">
      <w:pPr>
        <w:pStyle w:val="BodyTextIndent"/>
        <w:tabs>
          <w:tab w:val="clear" w:pos="720"/>
        </w:tabs>
      </w:pP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spacing w:line="360" w:lineRule="auto"/>
      </w:pPr>
      <w:r>
        <w:t>27.</w:t>
      </w:r>
      <w:r>
        <w:tab/>
        <w:t>From the equation given in the problem, it follows that:</w:t>
      </w:r>
    </w:p>
    <w:p w:rsidR="002443C3" w:rsidRDefault="002443C3" w:rsidP="002443C3">
      <w:pPr>
        <w:pStyle w:val="BodyTextIndent"/>
        <w:tabs>
          <w:tab w:val="clear" w:pos="720"/>
        </w:tabs>
        <w:spacing w:line="360" w:lineRule="auto"/>
        <w:ind w:left="1440" w:firstLine="0"/>
      </w:pPr>
      <w:r>
        <w:rPr>
          <w:noProof/>
          <w:position w:val="-30"/>
        </w:rPr>
        <w:object w:dxaOrig="3820" w:dyaOrig="680">
          <v:shape id="_x0000_i1068" type="#_x0000_t75" style="width:191.25pt;height:33.75pt" o:ole="" fillcolor="window">
            <v:imagedata r:id="rId95" o:title=""/>
          </v:shape>
          <o:OLEObject Type="Embed" ProgID="Equation.3" ShapeID="_x0000_i1068" DrawAspect="Content" ObjectID="_1355990246" r:id="rId96"/>
        </w:object>
      </w:r>
    </w:p>
    <w:p w:rsidR="002443C3" w:rsidRDefault="002443C3" w:rsidP="002443C3">
      <w:pPr>
        <w:pStyle w:val="BodyTextIndent"/>
        <w:tabs>
          <w:tab w:val="clear" w:pos="720"/>
        </w:tabs>
        <w:spacing w:line="360" w:lineRule="auto"/>
        <w:ind w:firstLine="0"/>
      </w:pPr>
      <w:r>
        <w:t>Consider three cases:</w:t>
      </w:r>
    </w:p>
    <w:p w:rsidR="002443C3" w:rsidRDefault="002443C3" w:rsidP="002443C3">
      <w:pPr>
        <w:pStyle w:val="BodyTextIndent"/>
        <w:tabs>
          <w:tab w:val="clear" w:pos="720"/>
        </w:tabs>
        <w:spacing w:line="360" w:lineRule="auto"/>
        <w:ind w:left="1440" w:firstLine="0"/>
      </w:pPr>
      <w:r>
        <w:t xml:space="preserve">ROE &lt; r </w:t>
      </w:r>
      <w:r>
        <w:sym w:font="Symbol" w:char="F0DE"/>
      </w:r>
      <w:r>
        <w:t xml:space="preserve"> (P</w:t>
      </w:r>
      <w:r>
        <w:rPr>
          <w:vertAlign w:val="subscript"/>
        </w:rPr>
        <w:t>0</w:t>
      </w:r>
      <w:r>
        <w:t>/BVPS) &lt; 1</w:t>
      </w:r>
    </w:p>
    <w:p w:rsidR="002443C3" w:rsidRPr="000B151F" w:rsidRDefault="002443C3" w:rsidP="002443C3">
      <w:pPr>
        <w:pStyle w:val="BodyTextIndent"/>
        <w:tabs>
          <w:tab w:val="clear" w:pos="720"/>
        </w:tabs>
        <w:spacing w:line="360" w:lineRule="auto"/>
        <w:ind w:left="1440" w:firstLine="0"/>
        <w:rPr>
          <w:lang w:val="pt-BR"/>
        </w:rPr>
      </w:pPr>
      <w:r w:rsidRPr="000B151F">
        <w:rPr>
          <w:lang w:val="pt-BR"/>
        </w:rPr>
        <w:t xml:space="preserve">ROE = r </w:t>
      </w:r>
      <w:r>
        <w:sym w:font="Symbol" w:char="F0DE"/>
      </w:r>
      <w:r w:rsidRPr="000B151F">
        <w:rPr>
          <w:lang w:val="pt-BR"/>
        </w:rPr>
        <w:t xml:space="preserve"> (P</w:t>
      </w:r>
      <w:r w:rsidRPr="000B151F">
        <w:rPr>
          <w:vertAlign w:val="subscript"/>
          <w:lang w:val="pt-BR"/>
        </w:rPr>
        <w:t>0</w:t>
      </w:r>
      <w:r w:rsidRPr="000B151F">
        <w:rPr>
          <w:lang w:val="pt-BR"/>
        </w:rPr>
        <w:t>/BVPS) = 1</w:t>
      </w:r>
    </w:p>
    <w:p w:rsidR="002443C3" w:rsidRPr="000B151F" w:rsidRDefault="002443C3" w:rsidP="002443C3">
      <w:pPr>
        <w:pStyle w:val="BodyTextIndent"/>
        <w:tabs>
          <w:tab w:val="clear" w:pos="720"/>
        </w:tabs>
        <w:spacing w:line="360" w:lineRule="auto"/>
        <w:ind w:left="1440" w:firstLine="0"/>
        <w:rPr>
          <w:lang w:val="pt-BR"/>
        </w:rPr>
      </w:pPr>
      <w:r w:rsidRPr="000B151F">
        <w:rPr>
          <w:lang w:val="pt-BR"/>
        </w:rPr>
        <w:t xml:space="preserve">ROE &gt; r </w:t>
      </w:r>
      <w:r>
        <w:sym w:font="Symbol" w:char="F0DE"/>
      </w:r>
      <w:r w:rsidRPr="000B151F">
        <w:rPr>
          <w:lang w:val="pt-BR"/>
        </w:rPr>
        <w:t xml:space="preserve"> (P</w:t>
      </w:r>
      <w:r w:rsidRPr="000B151F">
        <w:rPr>
          <w:vertAlign w:val="subscript"/>
          <w:lang w:val="pt-BR"/>
        </w:rPr>
        <w:t>0</w:t>
      </w:r>
      <w:r w:rsidRPr="000B151F">
        <w:rPr>
          <w:lang w:val="pt-BR"/>
        </w:rPr>
        <w:t>/BVPS) &gt; 1</w:t>
      </w:r>
    </w:p>
    <w:p w:rsidR="002443C3" w:rsidRDefault="002443C3" w:rsidP="002443C3">
      <w:pPr>
        <w:pStyle w:val="BodyTextIndent"/>
        <w:tabs>
          <w:tab w:val="clear" w:pos="720"/>
        </w:tabs>
        <w:ind w:right="180" w:firstLine="0"/>
      </w:pPr>
      <w:r>
        <w:t>Thus, as ROE increases, the price-to-book ratio also increases, and, when ROE = r, price-to-book equals one.</w: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spacing w:after="120"/>
      </w:pPr>
      <w:r>
        <w:t>28.</w:t>
      </w:r>
      <w:r>
        <w:tab/>
        <w:t>Assume the portfolio value given, $100 million, is the value as of the end of the first year.  Then, assuming constant growth, the value of the contract is given by the first payment (0.5 percent of portfolio value) divided by (r – g).  Also:</w:t>
      </w:r>
    </w:p>
    <w:p w:rsidR="002443C3" w:rsidRDefault="002443C3" w:rsidP="002443C3">
      <w:pPr>
        <w:pStyle w:val="BodyTextIndent"/>
        <w:tabs>
          <w:tab w:val="clear" w:pos="720"/>
        </w:tabs>
        <w:spacing w:after="120"/>
        <w:ind w:left="1440" w:firstLine="0"/>
      </w:pPr>
      <w:r>
        <w:t>r = dividend yield + growth rate</w:t>
      </w:r>
    </w:p>
    <w:p w:rsidR="002443C3" w:rsidRDefault="002443C3" w:rsidP="002443C3">
      <w:pPr>
        <w:pStyle w:val="BodyTextIndent"/>
        <w:tabs>
          <w:tab w:val="clear" w:pos="720"/>
        </w:tabs>
        <w:spacing w:after="120"/>
        <w:ind w:firstLine="0"/>
      </w:pPr>
      <w:r>
        <w:t>Hence:</w:t>
      </w:r>
    </w:p>
    <w:p w:rsidR="002443C3" w:rsidRDefault="002443C3" w:rsidP="002443C3">
      <w:pPr>
        <w:pStyle w:val="BodyTextIndent"/>
        <w:tabs>
          <w:tab w:val="clear" w:pos="720"/>
        </w:tabs>
        <w:spacing w:after="120"/>
        <w:ind w:left="1440" w:firstLine="0"/>
      </w:pPr>
      <w:r>
        <w:t xml:space="preserve">r </w:t>
      </w:r>
      <w:r>
        <w:rPr>
          <w:rFonts w:cs="Arial"/>
        </w:rPr>
        <w:t>–</w:t>
      </w:r>
      <w:r>
        <w:t xml:space="preserve"> growth rate = dividend yield = 0.05 = 5.0%</w:t>
      </w:r>
    </w:p>
    <w:p w:rsidR="002443C3" w:rsidRDefault="002443C3" w:rsidP="002443C3">
      <w:pPr>
        <w:pStyle w:val="BodyTextIndent"/>
        <w:tabs>
          <w:tab w:val="clear" w:pos="720"/>
        </w:tabs>
        <w:spacing w:after="120"/>
        <w:ind w:firstLine="0"/>
      </w:pPr>
      <w:r>
        <w:t>Thus, the value of the contract, V, is:</w:t>
      </w:r>
    </w:p>
    <w:p w:rsidR="002443C3" w:rsidRDefault="002443C3" w:rsidP="002443C3">
      <w:pPr>
        <w:pStyle w:val="BodyTextIndent"/>
        <w:tabs>
          <w:tab w:val="clear" w:pos="720"/>
        </w:tabs>
        <w:spacing w:after="120"/>
        <w:ind w:left="1440" w:firstLine="0"/>
        <w:rPr>
          <w:noProof/>
        </w:rPr>
      </w:pPr>
      <w:r w:rsidRPr="00A01B06">
        <w:rPr>
          <w:noProof/>
          <w:position w:val="-24"/>
        </w:rPr>
        <w:object w:dxaOrig="4000" w:dyaOrig="620">
          <v:shape id="_x0000_i1069" type="#_x0000_t75" style="width:200.25pt;height:30.75pt" o:ole="" fillcolor="window">
            <v:imagedata r:id="rId97" o:title=""/>
          </v:shape>
          <o:OLEObject Type="Embed" ProgID="Equation.3" ShapeID="_x0000_i1069" DrawAspect="Content" ObjectID="_1355990247" r:id="rId98"/>
        </w:object>
      </w:r>
    </w:p>
    <w:p w:rsidR="002443C3" w:rsidRDefault="002443C3" w:rsidP="002443C3">
      <w:pPr>
        <w:pStyle w:val="BodyTextIndent"/>
        <w:tabs>
          <w:tab w:val="clear" w:pos="720"/>
        </w:tabs>
        <w:spacing w:after="120"/>
        <w:ind w:firstLine="0"/>
      </w:pPr>
      <w:r>
        <w:t>For stocks with a 4 percent yield:</w:t>
      </w:r>
    </w:p>
    <w:p w:rsidR="002443C3" w:rsidRDefault="002443C3" w:rsidP="002443C3">
      <w:pPr>
        <w:pStyle w:val="BodyTextIndent"/>
        <w:tabs>
          <w:tab w:val="clear" w:pos="720"/>
        </w:tabs>
        <w:spacing w:after="120"/>
        <w:ind w:left="1440" w:firstLine="0"/>
      </w:pPr>
      <w:r>
        <w:t xml:space="preserve">r </w:t>
      </w:r>
      <w:r>
        <w:rPr>
          <w:rFonts w:cs="Arial"/>
        </w:rPr>
        <w:t>–</w:t>
      </w:r>
      <w:r>
        <w:t xml:space="preserve"> growth rate = dividend yield = 0.04 = 4.0%</w:t>
      </w:r>
    </w:p>
    <w:p w:rsidR="002443C3" w:rsidRDefault="002443C3" w:rsidP="002443C3">
      <w:pPr>
        <w:pStyle w:val="BodyTextIndent"/>
        <w:tabs>
          <w:tab w:val="clear" w:pos="720"/>
        </w:tabs>
        <w:spacing w:after="120"/>
        <w:ind w:firstLine="0"/>
      </w:pPr>
      <w:r>
        <w:t>Thus, the value of the contract, V, is:</w:t>
      </w:r>
    </w:p>
    <w:p w:rsidR="002443C3" w:rsidRDefault="002443C3" w:rsidP="002443C3">
      <w:pPr>
        <w:pStyle w:val="BodyTextIndent"/>
        <w:tabs>
          <w:tab w:val="clear" w:pos="720"/>
        </w:tabs>
        <w:ind w:left="1440" w:firstLine="0"/>
        <w:rPr>
          <w:noProof/>
        </w:rPr>
      </w:pPr>
      <w:r>
        <w:rPr>
          <w:noProof/>
        </w:rPr>
        <w:br w:type="page"/>
      </w:r>
      <w:r w:rsidRPr="00A01B06">
        <w:rPr>
          <w:noProof/>
          <w:position w:val="-24"/>
        </w:rPr>
        <w:object w:dxaOrig="4200" w:dyaOrig="620">
          <v:shape id="_x0000_i1070" type="#_x0000_t75" style="width:210pt;height:30.75pt" o:ole="" fillcolor="window">
            <v:imagedata r:id="rId99" o:title=""/>
          </v:shape>
          <o:OLEObject Type="Embed" ProgID="Equation.3" ShapeID="_x0000_i1070" DrawAspect="Content" ObjectID="_1355990248" r:id="rId100"/>
        </w:object>
      </w:r>
    </w:p>
    <w:p w:rsidR="002443C3" w:rsidRDefault="002443C3" w:rsidP="002443C3">
      <w:pPr>
        <w:pStyle w:val="BodyTextIndent"/>
        <w:tabs>
          <w:tab w:val="clear" w:pos="720"/>
        </w:tabs>
        <w:ind w:left="0" w:firstLine="0"/>
      </w:pPr>
    </w:p>
    <w:p w:rsidR="002443C3" w:rsidRDefault="002443C3" w:rsidP="002443C3">
      <w:pPr>
        <w:pStyle w:val="BodyTextIndent"/>
        <w:tabs>
          <w:tab w:val="clear" w:pos="720"/>
        </w:tabs>
        <w:ind w:left="0" w:firstLine="0"/>
      </w:pPr>
    </w:p>
    <w:p w:rsidR="002443C3" w:rsidRDefault="002443C3" w:rsidP="002443C3">
      <w:pPr>
        <w:ind w:left="720" w:right="450" w:hanging="720"/>
        <w:rPr>
          <w:rFonts w:cs="Arial"/>
        </w:rPr>
      </w:pPr>
      <w:r>
        <w:rPr>
          <w:rFonts w:cs="Arial"/>
        </w:rPr>
        <w:t>29.</w:t>
      </w:r>
      <w:r>
        <w:rPr>
          <w:rFonts w:cs="Arial"/>
        </w:rPr>
        <w:tab/>
        <w:t>If existing stockholders buy newly issued shares to cover the $3.6 million financing requirement, then the value of Concatco equals the discounted value of the cash flows (as computed in Section 4.5): $18.8 million.</w:t>
      </w:r>
    </w:p>
    <w:p w:rsidR="002443C3" w:rsidRDefault="002443C3" w:rsidP="002443C3">
      <w:pPr>
        <w:spacing w:after="120"/>
        <w:ind w:left="720" w:right="990"/>
        <w:rPr>
          <w:rFonts w:cs="Arial"/>
        </w:rPr>
      </w:pPr>
      <w:r>
        <w:rPr>
          <w:rFonts w:cs="Arial"/>
        </w:rPr>
        <w:t>Since the existing stockholders own 1 million shares, the value per share is $18.80.</w:t>
      </w:r>
    </w:p>
    <w:p w:rsidR="002443C3" w:rsidRDefault="002443C3" w:rsidP="002443C3">
      <w:pPr>
        <w:spacing w:after="120"/>
        <w:ind w:left="720" w:right="270"/>
        <w:rPr>
          <w:rFonts w:cs="Arial"/>
        </w:rPr>
      </w:pPr>
      <w:r>
        <w:rPr>
          <w:rFonts w:cs="Arial"/>
        </w:rPr>
        <w:t>Now suppose instead that the $3.6 million comes from new investors, who buy shares each year at a fair price.  Since the new investors buy shares at a fair price, the value of the existing stockholders’ shares must remain at $18.8 million.  Since existing stockholders expect to earn 10% on their investment, the expected value of their shares in year 6 is:</w:t>
      </w:r>
    </w:p>
    <w:p w:rsidR="002443C3" w:rsidRDefault="002443C3" w:rsidP="002443C3">
      <w:pPr>
        <w:spacing w:after="120"/>
        <w:ind w:left="1440"/>
        <w:rPr>
          <w:rFonts w:cs="Arial"/>
        </w:rPr>
      </w:pPr>
      <w:r>
        <w:rPr>
          <w:rFonts w:cs="Arial"/>
        </w:rPr>
        <w:t>$18.8 million × (1.10)</w:t>
      </w:r>
      <w:r>
        <w:rPr>
          <w:rFonts w:cs="Arial"/>
          <w:vertAlign w:val="superscript"/>
        </w:rPr>
        <w:t xml:space="preserve"> 6</w:t>
      </w:r>
      <w:r>
        <w:rPr>
          <w:rFonts w:cs="Arial"/>
        </w:rPr>
        <w:t xml:space="preserve"> = $33.39 million</w:t>
      </w:r>
    </w:p>
    <w:p w:rsidR="002443C3" w:rsidRDefault="002443C3" w:rsidP="002443C3">
      <w:pPr>
        <w:spacing w:after="120"/>
        <w:ind w:left="720"/>
        <w:rPr>
          <w:rFonts w:cs="Arial"/>
        </w:rPr>
      </w:pPr>
      <w:r>
        <w:rPr>
          <w:rFonts w:cs="Arial"/>
        </w:rPr>
        <w:t>The total value of the firm in year 6 is:</w:t>
      </w:r>
    </w:p>
    <w:p w:rsidR="002443C3" w:rsidRDefault="002443C3" w:rsidP="002443C3">
      <w:pPr>
        <w:spacing w:after="120"/>
        <w:ind w:left="1440"/>
        <w:rPr>
          <w:rFonts w:cs="Arial"/>
        </w:rPr>
      </w:pPr>
      <w:r>
        <w:rPr>
          <w:rFonts w:cs="Arial"/>
        </w:rPr>
        <w:t>$1.59 million</w:t>
      </w:r>
      <w:r w:rsidRPr="00EF41E0">
        <w:rPr>
          <w:rFonts w:cs="Arial"/>
          <w:sz w:val="16"/>
          <w:szCs w:val="16"/>
        </w:rPr>
        <w:t xml:space="preserve"> </w:t>
      </w:r>
      <w:r>
        <w:rPr>
          <w:rFonts w:cs="Arial"/>
        </w:rPr>
        <w:t>/</w:t>
      </w:r>
      <w:r w:rsidRPr="00EF41E0">
        <w:rPr>
          <w:rFonts w:cs="Arial"/>
          <w:sz w:val="16"/>
          <w:szCs w:val="16"/>
        </w:rPr>
        <w:t xml:space="preserve"> </w:t>
      </w:r>
      <w:r>
        <w:rPr>
          <w:rFonts w:cs="Arial"/>
        </w:rPr>
        <w:t>(0.10 – 0.06) = $39.75 million</w:t>
      </w:r>
    </w:p>
    <w:p w:rsidR="002443C3" w:rsidRDefault="002443C3" w:rsidP="002443C3">
      <w:pPr>
        <w:spacing w:after="120"/>
        <w:ind w:left="720"/>
        <w:rPr>
          <w:rFonts w:cs="Arial"/>
        </w:rPr>
      </w:pPr>
      <w:r>
        <w:rPr>
          <w:rFonts w:cs="Arial"/>
        </w:rPr>
        <w:t xml:space="preserve">Compensation to new stockholders in year 6 is: </w:t>
      </w:r>
    </w:p>
    <w:p w:rsidR="002443C3" w:rsidRDefault="002443C3" w:rsidP="002443C3">
      <w:pPr>
        <w:spacing w:after="120"/>
        <w:ind w:left="1440"/>
        <w:rPr>
          <w:rFonts w:cs="Arial"/>
        </w:rPr>
      </w:pPr>
      <w:r>
        <w:rPr>
          <w:rFonts w:cs="Arial"/>
        </w:rPr>
        <w:t>$39.75 million – $33.39 million = $6.36 million</w:t>
      </w:r>
    </w:p>
    <w:p w:rsidR="002443C3" w:rsidRDefault="002443C3" w:rsidP="002443C3">
      <w:pPr>
        <w:spacing w:after="120"/>
        <w:ind w:left="720"/>
        <w:rPr>
          <w:rFonts w:cs="Arial"/>
        </w:rPr>
      </w:pPr>
      <w:r>
        <w:rPr>
          <w:rFonts w:cs="Arial"/>
        </w:rPr>
        <w:t>Since existing stockholders own 1 million shares, then in year 6, new stockholders will own:</w:t>
      </w:r>
    </w:p>
    <w:p w:rsidR="002443C3" w:rsidRDefault="002443C3" w:rsidP="002443C3">
      <w:pPr>
        <w:spacing w:after="120"/>
        <w:ind w:left="1440"/>
        <w:rPr>
          <w:rFonts w:cs="Arial"/>
        </w:rPr>
      </w:pPr>
      <w:r>
        <w:rPr>
          <w:rFonts w:cs="Arial"/>
        </w:rPr>
        <w:t>($6.36 million</w:t>
      </w:r>
      <w:r w:rsidRPr="00EF41E0">
        <w:rPr>
          <w:rFonts w:cs="Arial"/>
          <w:sz w:val="16"/>
          <w:szCs w:val="16"/>
        </w:rPr>
        <w:t xml:space="preserve"> </w:t>
      </w:r>
      <w:r>
        <w:rPr>
          <w:rFonts w:cs="Arial"/>
        </w:rPr>
        <w:t>/</w:t>
      </w:r>
      <w:r w:rsidRPr="001F241E">
        <w:rPr>
          <w:rFonts w:cs="Arial"/>
          <w:sz w:val="16"/>
          <w:szCs w:val="16"/>
        </w:rPr>
        <w:t xml:space="preserve"> </w:t>
      </w:r>
      <w:r>
        <w:rPr>
          <w:rFonts w:cs="Arial"/>
        </w:rPr>
        <w:t>$33.39 million) × 1,000,000 = 190,300 shares</w:t>
      </w:r>
    </w:p>
    <w:p w:rsidR="002443C3" w:rsidRDefault="002443C3" w:rsidP="002443C3">
      <w:pPr>
        <w:spacing w:after="120"/>
        <w:ind w:left="720"/>
        <w:rPr>
          <w:rFonts w:cs="Arial"/>
        </w:rPr>
      </w:pPr>
      <w:r>
        <w:rPr>
          <w:rFonts w:cs="Arial"/>
        </w:rPr>
        <w:t>Share price in year 6 equals:</w:t>
      </w:r>
    </w:p>
    <w:p w:rsidR="002443C3" w:rsidRDefault="002443C3" w:rsidP="002443C3">
      <w:pPr>
        <w:spacing w:after="120"/>
        <w:ind w:left="1440"/>
        <w:rPr>
          <w:rFonts w:cs="Arial"/>
        </w:rPr>
      </w:pPr>
      <w:r>
        <w:rPr>
          <w:rFonts w:cs="Arial"/>
        </w:rPr>
        <w:t>$39.75 million</w:t>
      </w:r>
      <w:r w:rsidRPr="00EF41E0">
        <w:rPr>
          <w:rFonts w:cs="Arial"/>
          <w:sz w:val="16"/>
          <w:szCs w:val="16"/>
        </w:rPr>
        <w:t xml:space="preserve"> </w:t>
      </w:r>
      <w:r>
        <w:rPr>
          <w:rFonts w:cs="Arial"/>
        </w:rPr>
        <w:t>/</w:t>
      </w:r>
      <w:r w:rsidRPr="00EF41E0">
        <w:rPr>
          <w:rFonts w:cs="Arial"/>
          <w:sz w:val="16"/>
          <w:szCs w:val="16"/>
        </w:rPr>
        <w:t xml:space="preserve"> </w:t>
      </w:r>
      <w:r>
        <w:rPr>
          <w:rFonts w:cs="Arial"/>
        </w:rPr>
        <w:t>1.1903 million = $33.39</w:t>
      </w:r>
    </w:p>
    <w:p w:rsidR="002443C3" w:rsidRPr="001F241E" w:rsidRDefault="002443C3" w:rsidP="002443C3">
      <w:pPr>
        <w:spacing w:after="120"/>
        <w:ind w:left="720"/>
        <w:rPr>
          <w:rFonts w:cs="Arial"/>
        </w:rPr>
      </w:pPr>
    </w:p>
    <w:p w:rsidR="00BD3BC2" w:rsidRDefault="00BD3BC2"/>
    <w:sectPr w:rsidR="00BD3BC2" w:rsidSect="002443C3">
      <w:headerReference w:type="default" r:id="rId101"/>
      <w:footerReference w:type="even" r:id="rId102"/>
      <w:footerReference w:type="default" r:id="rId10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82" w:rsidRDefault="004B5C82">
      <w:r>
        <w:separator/>
      </w:r>
    </w:p>
  </w:endnote>
  <w:endnote w:type="continuationSeparator" w:id="0">
    <w:p w:rsidR="004B5C82" w:rsidRDefault="004B5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3" w:rsidRDefault="002443C3" w:rsidP="00244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3C3" w:rsidRDefault="002443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3" w:rsidRPr="000B151F" w:rsidRDefault="002443C3" w:rsidP="002443C3">
    <w:pPr>
      <w:pStyle w:val="Footer"/>
      <w:framePr w:w="865" w:wrap="around" w:vAnchor="text" w:hAnchor="page" w:x="5302" w:y="7"/>
      <w:jc w:val="center"/>
      <w:rPr>
        <w:rStyle w:val="PageNumber"/>
        <w:rFonts w:ascii="Times New Roman" w:hAnsi="Times New Roman"/>
        <w:sz w:val="20"/>
      </w:rPr>
    </w:pPr>
    <w:r w:rsidRPr="000B151F">
      <w:rPr>
        <w:rStyle w:val="PageNumber"/>
        <w:rFonts w:ascii="Times New Roman" w:hAnsi="Times New Roman"/>
        <w:sz w:val="20"/>
      </w:rPr>
      <w:t>4-</w:t>
    </w:r>
    <w:r w:rsidRPr="000B151F">
      <w:rPr>
        <w:rStyle w:val="PageNumber"/>
        <w:rFonts w:ascii="Times New Roman" w:hAnsi="Times New Roman"/>
        <w:sz w:val="20"/>
      </w:rPr>
      <w:fldChar w:fldCharType="begin"/>
    </w:r>
    <w:r w:rsidRPr="000B151F">
      <w:rPr>
        <w:rStyle w:val="PageNumber"/>
        <w:rFonts w:ascii="Times New Roman" w:hAnsi="Times New Roman"/>
        <w:sz w:val="20"/>
      </w:rPr>
      <w:instrText xml:space="preserve">PAGE  </w:instrText>
    </w:r>
    <w:r w:rsidRPr="000B151F">
      <w:rPr>
        <w:rStyle w:val="PageNumber"/>
        <w:rFonts w:ascii="Times New Roman" w:hAnsi="Times New Roman"/>
        <w:sz w:val="20"/>
      </w:rPr>
      <w:fldChar w:fldCharType="separate"/>
    </w:r>
    <w:r w:rsidR="00B807FB">
      <w:rPr>
        <w:rStyle w:val="PageNumber"/>
        <w:rFonts w:ascii="Times New Roman" w:hAnsi="Times New Roman"/>
        <w:noProof/>
        <w:sz w:val="20"/>
      </w:rPr>
      <w:t>1</w:t>
    </w:r>
    <w:r w:rsidRPr="000B151F">
      <w:rPr>
        <w:rStyle w:val="PageNumber"/>
        <w:rFonts w:ascii="Times New Roman" w:hAnsi="Times New Roman"/>
        <w:sz w:val="20"/>
      </w:rPr>
      <w:fldChar w:fldCharType="end"/>
    </w:r>
  </w:p>
  <w:p w:rsidR="002443C3" w:rsidRPr="000B151F" w:rsidRDefault="002443C3" w:rsidP="002443C3">
    <w:pPr>
      <w:pStyle w:val="Foo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82" w:rsidRDefault="004B5C82">
      <w:r>
        <w:separator/>
      </w:r>
    </w:p>
  </w:footnote>
  <w:footnote w:type="continuationSeparator" w:id="0">
    <w:p w:rsidR="004B5C82" w:rsidRDefault="004B5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C3" w:rsidRPr="000B151F" w:rsidRDefault="002443C3" w:rsidP="002443C3">
    <w:pPr>
      <w:pStyle w:val="Heading2"/>
      <w:rPr>
        <w:rFonts w:ascii="Times New Roman" w:hAnsi="Times New Roman"/>
        <w:i w:val="0"/>
        <w:sz w:val="20"/>
      </w:rPr>
    </w:pPr>
    <w:r w:rsidRPr="000B151F">
      <w:rPr>
        <w:rFonts w:ascii="Times New Roman" w:hAnsi="Times New Roman"/>
        <w:i w:val="0"/>
        <w:sz w:val="20"/>
      </w:rPr>
      <w:t>Chapter 04 - The Value of Common Stocks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F46"/>
    <w:multiLevelType w:val="singleLevel"/>
    <w:tmpl w:val="37A4FED8"/>
    <w:lvl w:ilvl="0">
      <w:start w:val="1"/>
      <w:numFmt w:val="decimal"/>
      <w:lvlText w:val="%1."/>
      <w:lvlJc w:val="left"/>
      <w:pPr>
        <w:tabs>
          <w:tab w:val="num" w:pos="720"/>
        </w:tabs>
        <w:ind w:left="720" w:hanging="720"/>
      </w:pPr>
      <w:rPr>
        <w:rFonts w:hint="default"/>
      </w:rPr>
    </w:lvl>
  </w:abstractNum>
  <w:abstractNum w:abstractNumId="1">
    <w:nsid w:val="32B04791"/>
    <w:multiLevelType w:val="singleLevel"/>
    <w:tmpl w:val="A1C0C0A8"/>
    <w:lvl w:ilvl="0">
      <w:start w:val="2"/>
      <w:numFmt w:val="lowerLetter"/>
      <w:lvlText w:val="%1."/>
      <w:lvlJc w:val="left"/>
      <w:pPr>
        <w:tabs>
          <w:tab w:val="num" w:pos="1440"/>
        </w:tabs>
        <w:ind w:left="1440" w:hanging="720"/>
      </w:pPr>
      <w:rPr>
        <w:rFonts w:hint="default"/>
      </w:rPr>
    </w:lvl>
  </w:abstractNum>
  <w:abstractNum w:abstractNumId="2">
    <w:nsid w:val="32EE0008"/>
    <w:multiLevelType w:val="hybridMultilevel"/>
    <w:tmpl w:val="D04A2C0A"/>
    <w:lvl w:ilvl="0" w:tplc="D4647622">
      <w:start w:val="3"/>
      <w:numFmt w:val="lowerLetter"/>
      <w:lvlText w:val="%1."/>
      <w:lvlJc w:val="left"/>
      <w:pPr>
        <w:tabs>
          <w:tab w:val="num" w:pos="2520"/>
        </w:tabs>
        <w:ind w:left="2520" w:hanging="720"/>
      </w:pPr>
      <w:rPr>
        <w:rFonts w:hint="default"/>
      </w:rPr>
    </w:lvl>
    <w:lvl w:ilvl="1" w:tplc="64C8E870">
      <w:start w:val="14"/>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1665A9"/>
    <w:multiLevelType w:val="singleLevel"/>
    <w:tmpl w:val="9BC2D78E"/>
    <w:lvl w:ilvl="0">
      <w:start w:val="2"/>
      <w:numFmt w:val="lowerLetter"/>
      <w:lvlText w:val="%1."/>
      <w:lvlJc w:val="left"/>
      <w:pPr>
        <w:tabs>
          <w:tab w:val="num" w:pos="1440"/>
        </w:tabs>
        <w:ind w:left="1440" w:hanging="720"/>
      </w:pPr>
      <w:rPr>
        <w:rFonts w:hint="default"/>
      </w:rPr>
    </w:lvl>
  </w:abstractNum>
  <w:abstractNum w:abstractNumId="4">
    <w:nsid w:val="45213B17"/>
    <w:multiLevelType w:val="multilevel"/>
    <w:tmpl w:val="B56CA4C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27"/>
      <w:numFmt w:val="decimal"/>
      <w:lvlText w:val="%3."/>
      <w:lvlJc w:val="left"/>
      <w:pPr>
        <w:tabs>
          <w:tab w:val="num" w:pos="2700"/>
        </w:tabs>
        <w:ind w:left="2700" w:hanging="720"/>
      </w:pPr>
      <w:rPr>
        <w:rFonts w:hint="default"/>
        <w:i/>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2443C3"/>
    <w:rsid w:val="002443C3"/>
    <w:rsid w:val="004B5C82"/>
    <w:rsid w:val="004F6A47"/>
    <w:rsid w:val="006E08FC"/>
    <w:rsid w:val="00731393"/>
    <w:rsid w:val="007F66C2"/>
    <w:rsid w:val="00960E5E"/>
    <w:rsid w:val="009639F2"/>
    <w:rsid w:val="00B807FB"/>
    <w:rsid w:val="00BD3BC2"/>
    <w:rsid w:val="00C401FA"/>
    <w:rsid w:val="00E6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3C3"/>
    <w:rPr>
      <w:rFonts w:ascii="Arial" w:hAnsi="Arial"/>
      <w:sz w:val="24"/>
    </w:rPr>
  </w:style>
  <w:style w:type="paragraph" w:styleId="Heading2">
    <w:name w:val="heading 2"/>
    <w:basedOn w:val="Normal"/>
    <w:next w:val="Normal"/>
    <w:link w:val="Heading2Char"/>
    <w:qFormat/>
    <w:rsid w:val="002443C3"/>
    <w:pPr>
      <w:keepNext/>
      <w:outlineLvl w:val="1"/>
    </w:pPr>
    <w:rPr>
      <w:i/>
    </w:rPr>
  </w:style>
  <w:style w:type="paragraph" w:styleId="Heading3">
    <w:name w:val="heading 3"/>
    <w:basedOn w:val="Normal"/>
    <w:next w:val="Normal"/>
    <w:link w:val="Heading3Char"/>
    <w:qFormat/>
    <w:rsid w:val="002443C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43C3"/>
    <w:rPr>
      <w:rFonts w:ascii="Arial" w:hAnsi="Arial"/>
      <w:i/>
      <w:sz w:val="24"/>
    </w:rPr>
  </w:style>
  <w:style w:type="character" w:customStyle="1" w:styleId="Heading3Char">
    <w:name w:val="Heading 3 Char"/>
    <w:basedOn w:val="DefaultParagraphFont"/>
    <w:link w:val="Heading3"/>
    <w:rsid w:val="002443C3"/>
    <w:rPr>
      <w:rFonts w:ascii="Arial" w:hAnsi="Arial"/>
      <w:b/>
      <w:sz w:val="24"/>
    </w:rPr>
  </w:style>
  <w:style w:type="paragraph" w:styleId="BodyTextIndent">
    <w:name w:val="Body Text Indent"/>
    <w:basedOn w:val="Normal"/>
    <w:link w:val="BodyTextIndentChar"/>
    <w:rsid w:val="002443C3"/>
    <w:pPr>
      <w:tabs>
        <w:tab w:val="left" w:pos="720"/>
      </w:tabs>
      <w:ind w:left="720" w:hanging="720"/>
    </w:pPr>
  </w:style>
  <w:style w:type="character" w:customStyle="1" w:styleId="BodyTextIndentChar">
    <w:name w:val="Body Text Indent Char"/>
    <w:basedOn w:val="DefaultParagraphFont"/>
    <w:link w:val="BodyTextIndent"/>
    <w:rsid w:val="002443C3"/>
    <w:rPr>
      <w:rFonts w:ascii="Arial" w:hAnsi="Arial"/>
      <w:sz w:val="24"/>
    </w:rPr>
  </w:style>
  <w:style w:type="paragraph" w:styleId="Header">
    <w:name w:val="header"/>
    <w:basedOn w:val="Normal"/>
    <w:link w:val="HeaderChar"/>
    <w:rsid w:val="002443C3"/>
    <w:pPr>
      <w:tabs>
        <w:tab w:val="center" w:pos="4320"/>
        <w:tab w:val="right" w:pos="8640"/>
      </w:tabs>
    </w:pPr>
  </w:style>
  <w:style w:type="character" w:customStyle="1" w:styleId="HeaderChar">
    <w:name w:val="Header Char"/>
    <w:basedOn w:val="DefaultParagraphFont"/>
    <w:link w:val="Header"/>
    <w:rsid w:val="002443C3"/>
    <w:rPr>
      <w:rFonts w:ascii="Arial" w:hAnsi="Arial"/>
      <w:sz w:val="24"/>
    </w:rPr>
  </w:style>
  <w:style w:type="paragraph" w:styleId="Footer">
    <w:name w:val="footer"/>
    <w:basedOn w:val="Normal"/>
    <w:link w:val="FooterChar"/>
    <w:rsid w:val="002443C3"/>
    <w:pPr>
      <w:tabs>
        <w:tab w:val="center" w:pos="4320"/>
        <w:tab w:val="right" w:pos="8640"/>
      </w:tabs>
    </w:pPr>
  </w:style>
  <w:style w:type="character" w:customStyle="1" w:styleId="FooterChar">
    <w:name w:val="Footer Char"/>
    <w:basedOn w:val="DefaultParagraphFont"/>
    <w:link w:val="Footer"/>
    <w:rsid w:val="002443C3"/>
    <w:rPr>
      <w:rFonts w:ascii="Arial" w:hAnsi="Arial"/>
      <w:sz w:val="24"/>
    </w:rPr>
  </w:style>
  <w:style w:type="character" w:styleId="PageNumber">
    <w:name w:val="page number"/>
    <w:basedOn w:val="DefaultParagraphFont"/>
    <w:rsid w:val="002443C3"/>
  </w:style>
  <w:style w:type="paragraph" w:customStyle="1" w:styleId="eaplnm">
    <w:name w:val="eap_ln.m"/>
    <w:basedOn w:val="Normal"/>
    <w:rsid w:val="002443C3"/>
    <w:pPr>
      <w:widowControl w:val="0"/>
      <w:tabs>
        <w:tab w:val="left" w:pos="360"/>
        <w:tab w:val="left" w:pos="600"/>
      </w:tabs>
      <w:autoSpaceDE w:val="0"/>
      <w:autoSpaceDN w:val="0"/>
      <w:adjustRightInd w:val="0"/>
      <w:spacing w:before="60" w:line="220" w:lineRule="atLeast"/>
      <w:ind w:left="360" w:hanging="360"/>
      <w:textAlignment w:val="center"/>
    </w:pPr>
    <w:rPr>
      <w:rFonts w:ascii="Palatino-Roman" w:hAnsi="Palatino-Roman"/>
      <w:color w:val="000000"/>
      <w:sz w:val="18"/>
      <w:szCs w:val="18"/>
    </w:rPr>
  </w:style>
  <w:style w:type="character" w:customStyle="1" w:styleId="bold">
    <w:name w:val="bold"/>
    <w:rsid w:val="002443C3"/>
    <w:rPr>
      <w:b/>
      <w:bCs/>
      <w:color w:val="000000"/>
      <w:w w:val="100"/>
    </w:rPr>
  </w:style>
  <w:style w:type="character" w:customStyle="1" w:styleId="italic">
    <w:name w:val="italic"/>
    <w:rsid w:val="002443C3"/>
    <w:rPr>
      <w:i/>
      <w:iCs/>
      <w:color w:val="000000"/>
      <w:w w:val="100"/>
    </w:rPr>
  </w:style>
  <w:style w:type="character" w:customStyle="1" w:styleId="sub">
    <w:name w:val="sub"/>
    <w:rsid w:val="002443C3"/>
    <w:rPr>
      <w:color w:val="000000"/>
      <w:w w:val="100"/>
      <w:vertAlign w:val="subscript"/>
    </w:rPr>
  </w:style>
  <w:style w:type="paragraph" w:customStyle="1" w:styleId="eapeqf">
    <w:name w:val="eap_eq.f"/>
    <w:basedOn w:val="Normal"/>
    <w:rsid w:val="002443C3"/>
    <w:pPr>
      <w:widowControl w:val="0"/>
      <w:tabs>
        <w:tab w:val="left" w:pos="240"/>
      </w:tabs>
      <w:suppressAutoHyphens/>
      <w:autoSpaceDE w:val="0"/>
      <w:autoSpaceDN w:val="0"/>
      <w:adjustRightInd w:val="0"/>
      <w:spacing w:before="120" w:line="200" w:lineRule="atLeast"/>
      <w:jc w:val="center"/>
      <w:textAlignment w:val="center"/>
    </w:pPr>
    <w:rPr>
      <w:rFonts w:ascii="Palatino-Roman" w:hAnsi="Palatino-Roman"/>
      <w:color w:val="000000"/>
      <w:sz w:val="18"/>
      <w:szCs w:val="18"/>
    </w:rPr>
  </w:style>
  <w:style w:type="paragraph" w:styleId="BalloonText">
    <w:name w:val="Balloon Text"/>
    <w:basedOn w:val="Normal"/>
    <w:link w:val="BalloonTextChar"/>
    <w:rsid w:val="002443C3"/>
    <w:rPr>
      <w:rFonts w:ascii="Tahoma" w:hAnsi="Tahoma" w:cs="Tahoma"/>
      <w:sz w:val="16"/>
      <w:szCs w:val="16"/>
    </w:rPr>
  </w:style>
  <w:style w:type="character" w:customStyle="1" w:styleId="BalloonTextChar">
    <w:name w:val="Balloon Text Char"/>
    <w:basedOn w:val="DefaultParagraphFont"/>
    <w:link w:val="BalloonText"/>
    <w:rsid w:val="002443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7" Type="http://schemas.openxmlformats.org/officeDocument/2006/relationships/image" Target="media/image1.emf"/><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2</cp:revision>
  <dcterms:created xsi:type="dcterms:W3CDTF">2011-01-08T17:08:00Z</dcterms:created>
  <dcterms:modified xsi:type="dcterms:W3CDTF">2011-01-08T17:08:00Z</dcterms:modified>
</cp:coreProperties>
</file>