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6B4" w:rsidRDefault="008B46B4" w:rsidP="00597854">
      <w:pPr>
        <w:spacing w:after="75" w:line="780" w:lineRule="atLeast"/>
        <w:textAlignment w:val="baseline"/>
        <w:outlineLvl w:val="0"/>
        <w:rPr>
          <w:rFonts w:ascii="Arial" w:hAnsi="Arial" w:cs="Arial"/>
          <w:color w:val="35383D"/>
          <w:spacing w:val="-7"/>
          <w:kern w:val="36"/>
          <w:sz w:val="68"/>
          <w:szCs w:val="68"/>
        </w:rPr>
      </w:pPr>
      <w:r>
        <w:rPr>
          <w:rFonts w:ascii="Arial" w:hAnsi="Arial" w:cs="Arial"/>
          <w:color w:val="35383D"/>
          <w:spacing w:val="-7"/>
          <w:kern w:val="36"/>
          <w:sz w:val="68"/>
          <w:szCs w:val="68"/>
        </w:rPr>
        <w:t>The Dreaded Head &amp; Shoulder -</w:t>
      </w:r>
      <w:bookmarkStart w:id="0" w:name="_GoBack"/>
      <w:bookmarkEnd w:id="0"/>
    </w:p>
    <w:p w:rsidR="00597854" w:rsidRPr="00597854" w:rsidRDefault="00597854" w:rsidP="00597854">
      <w:pPr>
        <w:spacing w:after="75" w:line="780" w:lineRule="atLeast"/>
        <w:textAlignment w:val="baseline"/>
        <w:outlineLvl w:val="0"/>
        <w:rPr>
          <w:rFonts w:ascii="Arial" w:hAnsi="Arial" w:cs="Arial"/>
          <w:color w:val="35383D"/>
          <w:spacing w:val="-7"/>
          <w:kern w:val="36"/>
          <w:sz w:val="68"/>
          <w:szCs w:val="68"/>
        </w:rPr>
      </w:pPr>
      <w:r w:rsidRPr="00597854">
        <w:rPr>
          <w:rFonts w:ascii="Arial" w:hAnsi="Arial" w:cs="Arial"/>
          <w:color w:val="35383D"/>
          <w:spacing w:val="-7"/>
          <w:kern w:val="36"/>
          <w:sz w:val="68"/>
          <w:szCs w:val="68"/>
        </w:rPr>
        <w:t>Here’s what technical analysts are saying about the turmoil in stocks</w:t>
      </w:r>
    </w:p>
    <w:p w:rsidR="00597854" w:rsidRPr="00597854" w:rsidRDefault="00597854" w:rsidP="00597854">
      <w:pPr>
        <w:spacing w:line="375" w:lineRule="atLeast"/>
        <w:textAlignment w:val="baseline"/>
        <w:rPr>
          <w:rFonts w:ascii="Arial" w:hAnsi="Arial" w:cs="Arial"/>
          <w:color w:val="FFFFFF"/>
        </w:rPr>
      </w:pPr>
      <w:r w:rsidRPr="00597854">
        <w:rPr>
          <w:rFonts w:ascii="Arial" w:hAnsi="Arial" w:cs="Arial"/>
          <w:color w:val="555555"/>
          <w:sz w:val="27"/>
          <w:szCs w:val="27"/>
        </w:rPr>
        <w:t>Published: </w:t>
      </w:r>
      <w:r w:rsidRPr="00597854">
        <w:rPr>
          <w:rFonts w:ascii="Arial" w:hAnsi="Arial" w:cs="Arial"/>
          <w:color w:val="555555"/>
          <w:sz w:val="27"/>
          <w:szCs w:val="27"/>
          <w:bdr w:val="none" w:sz="0" w:space="0" w:color="auto" w:frame="1"/>
        </w:rPr>
        <w:t>Feb 9, 2016 3:24 p.m. ET</w:t>
      </w:r>
      <w:r w:rsidRPr="00597854">
        <w:rPr>
          <w:rFonts w:ascii="Arial" w:hAnsi="Arial" w:cs="Arial"/>
          <w:color w:val="FFFFFF"/>
        </w:rPr>
        <w:t> </w:t>
      </w:r>
      <w:r w:rsidRPr="00597854">
        <w:rPr>
          <w:rFonts w:ascii="Arial" w:hAnsi="Arial" w:cs="Arial"/>
          <w:color w:val="FFFFFF"/>
          <w:sz w:val="30"/>
          <w:szCs w:val="30"/>
          <w:bdr w:val="none" w:sz="0" w:space="0" w:color="auto" w:frame="1"/>
        </w:rPr>
        <w:t>5</w:t>
      </w:r>
    </w:p>
    <w:p w:rsidR="00597854" w:rsidRPr="00597854" w:rsidRDefault="00597854" w:rsidP="00597854">
      <w:pPr>
        <w:spacing w:line="360" w:lineRule="atLeast"/>
        <w:textAlignment w:val="baseline"/>
        <w:rPr>
          <w:rFonts w:ascii="Arial" w:hAnsi="Arial" w:cs="Arial"/>
          <w:color w:val="333333"/>
        </w:rPr>
      </w:pPr>
      <w:r w:rsidRPr="00597854">
        <w:rPr>
          <w:rFonts w:ascii="Arial" w:hAnsi="Arial" w:cs="Arial"/>
          <w:color w:val="333333"/>
        </w:rPr>
        <w:t> </w:t>
      </w:r>
    </w:p>
    <w:p w:rsidR="00597854" w:rsidRPr="00597854" w:rsidRDefault="00597854" w:rsidP="00597854">
      <w:pPr>
        <w:spacing w:line="345" w:lineRule="atLeast"/>
        <w:jc w:val="center"/>
        <w:textAlignment w:val="baseline"/>
        <w:outlineLvl w:val="2"/>
        <w:rPr>
          <w:rFonts w:ascii="Arial" w:hAnsi="Arial" w:cs="Arial"/>
          <w:b/>
          <w:bCs/>
          <w:i/>
          <w:iCs/>
          <w:color w:val="626B78"/>
          <w:sz w:val="27"/>
          <w:szCs w:val="27"/>
        </w:rPr>
      </w:pPr>
      <w:r w:rsidRPr="00597854">
        <w:rPr>
          <w:rFonts w:ascii="Arial" w:hAnsi="Arial" w:cs="Arial"/>
          <w:b/>
          <w:bCs/>
          <w:i/>
          <w:iCs/>
          <w:color w:val="626B78"/>
          <w:sz w:val="27"/>
          <w:szCs w:val="27"/>
        </w:rPr>
        <w:t>‘Next target on S&amp;P 500 is 1</w:t>
      </w:r>
      <w:proofErr w:type="gramStart"/>
      <w:r w:rsidRPr="00597854">
        <w:rPr>
          <w:rFonts w:ascii="Arial" w:hAnsi="Arial" w:cs="Arial"/>
          <w:b/>
          <w:bCs/>
          <w:i/>
          <w:iCs/>
          <w:color w:val="626B78"/>
          <w:sz w:val="27"/>
          <w:szCs w:val="27"/>
        </w:rPr>
        <w:t>,600</w:t>
      </w:r>
      <w:proofErr w:type="gramEnd"/>
      <w:r w:rsidRPr="00597854">
        <w:rPr>
          <w:rFonts w:ascii="Arial" w:hAnsi="Arial" w:cs="Arial"/>
          <w:b/>
          <w:bCs/>
          <w:i/>
          <w:iCs/>
          <w:color w:val="626B78"/>
          <w:sz w:val="27"/>
          <w:szCs w:val="27"/>
        </w:rPr>
        <w:t xml:space="preserve">,’ says J.C. </w:t>
      </w:r>
      <w:proofErr w:type="spellStart"/>
      <w:r w:rsidRPr="00597854">
        <w:rPr>
          <w:rFonts w:ascii="Arial" w:hAnsi="Arial" w:cs="Arial"/>
          <w:b/>
          <w:bCs/>
          <w:i/>
          <w:iCs/>
          <w:color w:val="626B78"/>
          <w:sz w:val="27"/>
          <w:szCs w:val="27"/>
        </w:rPr>
        <w:t>Parets</w:t>
      </w:r>
      <w:proofErr w:type="spellEnd"/>
    </w:p>
    <w:p w:rsidR="00597854" w:rsidRPr="00597854" w:rsidRDefault="00597854" w:rsidP="00597854">
      <w:pPr>
        <w:spacing w:line="360" w:lineRule="atLeast"/>
        <w:textAlignment w:val="baseline"/>
        <w:rPr>
          <w:rFonts w:ascii="Arial" w:hAnsi="Arial" w:cs="Arial"/>
          <w:color w:val="333333"/>
        </w:rPr>
      </w:pPr>
      <w:r w:rsidRPr="00597854">
        <w:rPr>
          <w:rFonts w:ascii="Arial" w:hAnsi="Arial" w:cs="Arial"/>
          <w:noProof/>
          <w:color w:val="333333"/>
        </w:rPr>
        <w:drawing>
          <wp:inline distT="0" distB="0" distL="0" distR="0" wp14:anchorId="0EB010DB" wp14:editId="138368E5">
            <wp:extent cx="5262325" cy="2962275"/>
            <wp:effectExtent l="0" t="0" r="0" b="0"/>
            <wp:docPr id="1" name="Picture 1" descr="http://ei.marketwatch.com/Multimedia/2016/02/09/Photos/ZH/MW-EF198_bear_c_20160209135759_ZH.jpg?uuid=099136e6-cf5f-11e5-9bc8-0015c588e0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i.marketwatch.com/Multimedia/2016/02/09/Photos/ZH/MW-EF198_bear_c_20160209135759_ZH.jpg?uuid=099136e6-cf5f-11e5-9bc8-0015c588e0f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2325" cy="2962275"/>
                    </a:xfrm>
                    <a:prstGeom prst="rect">
                      <a:avLst/>
                    </a:prstGeom>
                    <a:noFill/>
                    <a:ln>
                      <a:noFill/>
                    </a:ln>
                  </pic:spPr>
                </pic:pic>
              </a:graphicData>
            </a:graphic>
          </wp:inline>
        </w:drawing>
      </w:r>
      <w:proofErr w:type="spellStart"/>
      <w:r w:rsidRPr="00597854">
        <w:rPr>
          <w:rFonts w:ascii="Arial" w:hAnsi="Arial" w:cs="Arial"/>
          <w:i/>
          <w:iCs/>
          <w:color w:val="FFFFFF"/>
          <w:sz w:val="18"/>
          <w:szCs w:val="18"/>
          <w:bdr w:val="none" w:sz="0" w:space="0" w:color="auto" w:frame="1"/>
        </w:rPr>
        <w:t>MarketWatch</w:t>
      </w:r>
      <w:proofErr w:type="spellEnd"/>
      <w:r w:rsidRPr="00597854">
        <w:rPr>
          <w:rFonts w:ascii="Arial" w:hAnsi="Arial" w:cs="Arial"/>
          <w:i/>
          <w:iCs/>
          <w:color w:val="FFFFFF"/>
          <w:sz w:val="18"/>
          <w:szCs w:val="18"/>
          <w:bdr w:val="none" w:sz="0" w:space="0" w:color="auto" w:frame="1"/>
        </w:rPr>
        <w:t xml:space="preserve"> photo illustration/Shutterstock</w:t>
      </w:r>
    </w:p>
    <w:p w:rsidR="00597854" w:rsidRPr="00597854" w:rsidRDefault="00597854" w:rsidP="00597854">
      <w:pPr>
        <w:spacing w:line="360" w:lineRule="atLeast"/>
        <w:textAlignment w:val="baseline"/>
        <w:rPr>
          <w:rFonts w:ascii="Arial" w:hAnsi="Arial" w:cs="Arial"/>
          <w:color w:val="333333"/>
        </w:rPr>
      </w:pPr>
      <w:r w:rsidRPr="00597854">
        <w:rPr>
          <w:rFonts w:ascii="Arial" w:hAnsi="Arial" w:cs="Arial"/>
          <w:color w:val="333333"/>
        </w:rPr>
        <w:t>Bearish pattern signals more pain</w:t>
      </w:r>
    </w:p>
    <w:p w:rsidR="00597854" w:rsidRPr="00597854" w:rsidRDefault="00597854" w:rsidP="00597854">
      <w:pPr>
        <w:spacing w:line="360" w:lineRule="atLeast"/>
        <w:jc w:val="center"/>
        <w:textAlignment w:val="baseline"/>
        <w:rPr>
          <w:rFonts w:ascii="Arial" w:hAnsi="Arial" w:cs="Arial"/>
          <w:color w:val="333333"/>
        </w:rPr>
      </w:pPr>
      <w:r w:rsidRPr="00597854">
        <w:rPr>
          <w:rFonts w:ascii="Arial" w:hAnsi="Arial" w:cs="Arial"/>
          <w:noProof/>
          <w:color w:val="648C94"/>
          <w:bdr w:val="single" w:sz="48" w:space="0" w:color="FFFFFF" w:frame="1"/>
        </w:rPr>
        <w:drawing>
          <wp:inline distT="0" distB="0" distL="0" distR="0" wp14:anchorId="335BC9AC" wp14:editId="635492F7">
            <wp:extent cx="952500" cy="952500"/>
            <wp:effectExtent l="0" t="0" r="0" b="0"/>
            <wp:docPr id="2" name="Picture 2" descr="http://i.mktw.net/_newsimages/2014_dreds/anoraMahmudova_100.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ktw.net/_newsimages/2014_dreds/anoraMahmudova_100.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597854" w:rsidRPr="00597854" w:rsidRDefault="00597854" w:rsidP="00597854">
      <w:pPr>
        <w:spacing w:line="360" w:lineRule="atLeast"/>
        <w:jc w:val="center"/>
        <w:textAlignment w:val="baseline"/>
        <w:rPr>
          <w:rFonts w:ascii="Arial" w:hAnsi="Arial" w:cs="Arial"/>
          <w:color w:val="333333"/>
        </w:rPr>
      </w:pPr>
      <w:r w:rsidRPr="00597854">
        <w:rPr>
          <w:rFonts w:ascii="Arial" w:hAnsi="Arial" w:cs="Arial"/>
          <w:color w:val="333333"/>
        </w:rPr>
        <w:t>By</w:t>
      </w:r>
    </w:p>
    <w:p w:rsidR="00597854" w:rsidRPr="00597854" w:rsidRDefault="00597854" w:rsidP="00597854">
      <w:pPr>
        <w:spacing w:line="360" w:lineRule="atLeast"/>
        <w:jc w:val="center"/>
        <w:textAlignment w:val="baseline"/>
        <w:rPr>
          <w:color w:val="648C94"/>
        </w:rPr>
      </w:pPr>
      <w:r w:rsidRPr="00597854">
        <w:rPr>
          <w:rFonts w:ascii="Arial" w:hAnsi="Arial" w:cs="Arial"/>
          <w:color w:val="333333"/>
        </w:rPr>
        <w:fldChar w:fldCharType="begin"/>
      </w:r>
      <w:r w:rsidRPr="00597854">
        <w:rPr>
          <w:rFonts w:ascii="Arial" w:hAnsi="Arial" w:cs="Arial"/>
          <w:color w:val="333333"/>
        </w:rPr>
        <w:instrText xml:space="preserve"> HYPERLINK "http://www.marketwatch.com/topics/journalists/anora-mahmudova" \o "Anora Mahmudova" </w:instrText>
      </w:r>
      <w:r w:rsidRPr="00597854">
        <w:rPr>
          <w:rFonts w:ascii="Arial" w:hAnsi="Arial" w:cs="Arial"/>
          <w:color w:val="333333"/>
        </w:rPr>
        <w:fldChar w:fldCharType="separate"/>
      </w:r>
    </w:p>
    <w:p w:rsidR="00597854" w:rsidRPr="00597854" w:rsidRDefault="00597854" w:rsidP="00597854">
      <w:pPr>
        <w:spacing w:line="300" w:lineRule="atLeast"/>
        <w:jc w:val="center"/>
        <w:textAlignment w:val="baseline"/>
        <w:outlineLvl w:val="2"/>
        <w:rPr>
          <w:b/>
          <w:bCs/>
          <w:caps/>
          <w:sz w:val="27"/>
          <w:szCs w:val="27"/>
        </w:rPr>
      </w:pPr>
      <w:r w:rsidRPr="00597854">
        <w:rPr>
          <w:rFonts w:ascii="Arial" w:hAnsi="Arial" w:cs="Arial"/>
          <w:b/>
          <w:bCs/>
          <w:caps/>
          <w:color w:val="648C94"/>
          <w:sz w:val="27"/>
          <w:szCs w:val="27"/>
        </w:rPr>
        <w:t>ANORA</w:t>
      </w:r>
      <w:r w:rsidRPr="00597854">
        <w:rPr>
          <w:rFonts w:ascii="Arial" w:hAnsi="Arial" w:cs="Arial"/>
          <w:b/>
          <w:bCs/>
          <w:caps/>
          <w:color w:val="47595F"/>
          <w:sz w:val="30"/>
          <w:szCs w:val="30"/>
          <w:bdr w:val="none" w:sz="0" w:space="0" w:color="auto" w:frame="1"/>
        </w:rPr>
        <w:t>MAHMUDOVA</w:t>
      </w:r>
    </w:p>
    <w:p w:rsidR="00597854" w:rsidRPr="00597854" w:rsidRDefault="00597854" w:rsidP="00597854">
      <w:pPr>
        <w:spacing w:line="360" w:lineRule="atLeast"/>
        <w:jc w:val="center"/>
        <w:textAlignment w:val="baseline"/>
        <w:rPr>
          <w:rFonts w:ascii="Arial" w:hAnsi="Arial" w:cs="Arial"/>
          <w:color w:val="333333"/>
        </w:rPr>
      </w:pPr>
      <w:r w:rsidRPr="00597854">
        <w:rPr>
          <w:rFonts w:ascii="Arial" w:hAnsi="Arial" w:cs="Arial"/>
          <w:color w:val="333333"/>
        </w:rPr>
        <w:fldChar w:fldCharType="end"/>
      </w:r>
    </w:p>
    <w:p w:rsidR="00597854" w:rsidRPr="00597854" w:rsidRDefault="00597854" w:rsidP="00597854">
      <w:pPr>
        <w:jc w:val="center"/>
        <w:textAlignment w:val="baseline"/>
        <w:rPr>
          <w:rFonts w:ascii="Arial" w:hAnsi="Arial" w:cs="Arial"/>
          <w:b/>
          <w:bCs/>
          <w:caps/>
          <w:color w:val="6B6F77"/>
          <w:sz w:val="20"/>
          <w:szCs w:val="20"/>
        </w:rPr>
      </w:pPr>
      <w:r w:rsidRPr="00597854">
        <w:rPr>
          <w:rFonts w:ascii="Arial" w:hAnsi="Arial" w:cs="Arial"/>
          <w:b/>
          <w:bCs/>
          <w:caps/>
          <w:color w:val="6B6F77"/>
          <w:sz w:val="20"/>
          <w:szCs w:val="20"/>
        </w:rPr>
        <w:t>REPORTER</w:t>
      </w:r>
    </w:p>
    <w:p w:rsidR="00597854" w:rsidRPr="00597854" w:rsidRDefault="00597854" w:rsidP="00597854">
      <w:pPr>
        <w:spacing w:line="360" w:lineRule="atLeast"/>
        <w:jc w:val="center"/>
        <w:textAlignment w:val="baseline"/>
        <w:rPr>
          <w:rFonts w:ascii="Arial" w:hAnsi="Arial" w:cs="Arial"/>
          <w:color w:val="333333"/>
        </w:rPr>
      </w:pPr>
      <w:r w:rsidRPr="00597854">
        <w:rPr>
          <w:rFonts w:ascii="Arial" w:hAnsi="Arial" w:cs="Arial"/>
          <w:color w:val="333333"/>
        </w:rPr>
        <w:t> </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Some chart watchers say a recently completed bearish pattern could portend more pain for stock investors over the short term.</w:t>
      </w:r>
    </w:p>
    <w:p w:rsidR="00597854" w:rsidRPr="00597854" w:rsidRDefault="00597854" w:rsidP="00597854">
      <w:pPr>
        <w:textAlignment w:val="baseline"/>
        <w:rPr>
          <w:rFonts w:ascii="Arial" w:hAnsi="Arial" w:cs="Arial"/>
          <w:color w:val="333333"/>
        </w:rPr>
      </w:pPr>
      <w:r w:rsidRPr="00597854">
        <w:rPr>
          <w:rFonts w:ascii="Arial" w:hAnsi="Arial" w:cs="Arial"/>
          <w:color w:val="333333"/>
        </w:rPr>
        <w:t>These technical strategists are pointing to a so-called head-and-shoulders pattern in the S&amp;P 500 index </w:t>
      </w:r>
      <w:hyperlink r:id="rId8" w:history="1">
        <w:r w:rsidRPr="00597854">
          <w:rPr>
            <w:rFonts w:ascii="Arial" w:hAnsi="Arial" w:cs="Arial"/>
            <w:b/>
            <w:bCs/>
            <w:color w:val="3AA150"/>
            <w:bdr w:val="none" w:sz="0" w:space="0" w:color="auto" w:frame="1"/>
          </w:rPr>
          <w:t>SPX, +0.35%</w:t>
        </w:r>
      </w:hyperlink>
      <w:r w:rsidRPr="00597854">
        <w:rPr>
          <w:rFonts w:ascii="Arial" w:hAnsi="Arial" w:cs="Arial"/>
          <w:color w:val="333333"/>
        </w:rPr>
        <w:t xml:space="preserve">   that has formed over 15 months and was completed last week, as investors </w:t>
      </w:r>
      <w:r w:rsidRPr="00597854">
        <w:rPr>
          <w:rFonts w:ascii="Arial" w:hAnsi="Arial" w:cs="Arial"/>
          <w:color w:val="333333"/>
        </w:rPr>
        <w:lastRenderedPageBreak/>
        <w:t>fretted about slowing global economic growth and as the U.S. Federal Reserve embarked on a path of normalizing monetary policy.</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 xml:space="preserve">A head-and-shoulders pattern has three distinct peaks, with one peak in the middle, symbolizing the head, and two smaller peaks on either side representing the shoulders. Another component is the neckline, which is often defined as the </w:t>
      </w:r>
      <w:proofErr w:type="spellStart"/>
      <w:r w:rsidRPr="00597854">
        <w:rPr>
          <w:rFonts w:ascii="Arial" w:hAnsi="Arial" w:cs="Arial"/>
          <w:color w:val="333333"/>
        </w:rPr>
        <w:t>trendline</w:t>
      </w:r>
      <w:proofErr w:type="spellEnd"/>
      <w:r w:rsidRPr="00597854">
        <w:rPr>
          <w:rFonts w:ascii="Arial" w:hAnsi="Arial" w:cs="Arial"/>
          <w:color w:val="333333"/>
        </w:rPr>
        <w:t xml:space="preserve"> between the two troughs separating the head from the shoulders, as the chart below illustrates:</w:t>
      </w:r>
    </w:p>
    <w:p w:rsidR="00597854" w:rsidRPr="00597854" w:rsidRDefault="00597854" w:rsidP="00597854">
      <w:pPr>
        <w:textAlignment w:val="baseline"/>
        <w:rPr>
          <w:rFonts w:ascii="Arial" w:hAnsi="Arial" w:cs="Arial"/>
          <w:color w:val="333333"/>
          <w:sz w:val="23"/>
          <w:szCs w:val="23"/>
        </w:rPr>
      </w:pPr>
      <w:r w:rsidRPr="00597854">
        <w:rPr>
          <w:rFonts w:ascii="Arial" w:hAnsi="Arial" w:cs="Arial"/>
          <w:noProof/>
          <w:color w:val="333333"/>
          <w:sz w:val="23"/>
          <w:szCs w:val="23"/>
        </w:rPr>
        <w:drawing>
          <wp:inline distT="0" distB="0" distL="0" distR="0" wp14:anchorId="3E96F282" wp14:editId="3FE24AD4">
            <wp:extent cx="6248400" cy="3933825"/>
            <wp:effectExtent l="0" t="0" r="0" b="0"/>
            <wp:docPr id="3" name="Picture 3" descr="http://ei.marketwatch.com/Multimedia/2016/02/08/Photos/NS/MW-EF101_HS_pat_20160208174303_NS.jpg?uuid=502f7874-ceb5-11e5-98e1-0015c588e0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i.marketwatch.com/Multimedia/2016/02/08/Photos/NS/MW-EF101_HS_pat_20160208174303_NS.jpg?uuid=502f7874-ceb5-11e5-98e1-0015c588e0f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48400" cy="3933825"/>
                    </a:xfrm>
                    <a:prstGeom prst="rect">
                      <a:avLst/>
                    </a:prstGeom>
                    <a:noFill/>
                    <a:ln>
                      <a:noFill/>
                    </a:ln>
                  </pic:spPr>
                </pic:pic>
              </a:graphicData>
            </a:graphic>
          </wp:inline>
        </w:drawing>
      </w:r>
    </w:p>
    <w:p w:rsidR="00597854" w:rsidRDefault="00597854" w:rsidP="00597854">
      <w:pPr>
        <w:spacing w:after="225"/>
        <w:textAlignment w:val="baseline"/>
        <w:rPr>
          <w:rFonts w:ascii="Arial" w:hAnsi="Arial" w:cs="Arial"/>
          <w:color w:val="333333"/>
        </w:rPr>
      </w:pP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For chartists, a head-and-shoulders pattern typically signals that a bullish trend is about to go through a major reversal. This particular pattern began forming in May 2014, with the left shoulder resulting in a selloff in October 2014. The “head” took almost a year to form, culminating in the all-time high on May 21, 2015, when the S&amp;P 500</w:t>
      </w:r>
      <w:proofErr w:type="gramStart"/>
      <w:r w:rsidRPr="00597854">
        <w:rPr>
          <w:rFonts w:ascii="Arial" w:hAnsi="Arial" w:cs="Arial"/>
          <w:color w:val="333333"/>
        </w:rPr>
        <w:t>  closed</w:t>
      </w:r>
      <w:proofErr w:type="gramEnd"/>
      <w:r w:rsidRPr="00597854">
        <w:rPr>
          <w:rFonts w:ascii="Arial" w:hAnsi="Arial" w:cs="Arial"/>
          <w:color w:val="333333"/>
        </w:rPr>
        <w:t xml:space="preserve"> at 2,130.82. The right shoulder consists of a 12% drop last August, a recovery that failed to hit record highs by a few points and the current selloff.</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 xml:space="preserve">Technicians believe that breaking through the so-called ‘neckline’ completes the pattern and signals further downside, according to Frank </w:t>
      </w:r>
      <w:proofErr w:type="spellStart"/>
      <w:r w:rsidRPr="00597854">
        <w:rPr>
          <w:rFonts w:ascii="Arial" w:hAnsi="Arial" w:cs="Arial"/>
          <w:color w:val="333333"/>
        </w:rPr>
        <w:t>Cappelleri</w:t>
      </w:r>
      <w:proofErr w:type="spellEnd"/>
      <w:r w:rsidRPr="00597854">
        <w:rPr>
          <w:rFonts w:ascii="Arial" w:hAnsi="Arial" w:cs="Arial"/>
          <w:color w:val="333333"/>
        </w:rPr>
        <w:t>, chief market technician at brokerage firm Instinet. He said the pattern that began forming more than a year ago is now complete.</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How bearish could things get for the S&amp;P 500 on the heels of this ugly chart formation?</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 xml:space="preserve">J.C. </w:t>
      </w:r>
      <w:proofErr w:type="spellStart"/>
      <w:r w:rsidRPr="00597854">
        <w:rPr>
          <w:rFonts w:ascii="Arial" w:hAnsi="Arial" w:cs="Arial"/>
          <w:color w:val="333333"/>
        </w:rPr>
        <w:t>Parets</w:t>
      </w:r>
      <w:proofErr w:type="spellEnd"/>
      <w:r w:rsidRPr="00597854">
        <w:rPr>
          <w:rFonts w:ascii="Arial" w:hAnsi="Arial" w:cs="Arial"/>
          <w:color w:val="333333"/>
        </w:rPr>
        <w:t>, founder of money manager Eagle Bay Capital and a prominent market commentator, suggests the index could fall a further 13%, based on the S&amp;P 500’s level of 1,847 at midday Tuesday. “When [the pattern is] completed and confirmed, it dictates the price target. We think the next price target is 1,600 on the S&amp;P 500,” he said.</w:t>
      </w:r>
    </w:p>
    <w:p w:rsidR="00597854" w:rsidRPr="00597854" w:rsidRDefault="00597854" w:rsidP="00597854">
      <w:pPr>
        <w:spacing w:after="225"/>
        <w:textAlignment w:val="baseline"/>
        <w:rPr>
          <w:rFonts w:ascii="Arial" w:hAnsi="Arial" w:cs="Arial"/>
          <w:color w:val="333333"/>
        </w:rPr>
      </w:pPr>
      <w:proofErr w:type="spellStart"/>
      <w:r w:rsidRPr="00597854">
        <w:rPr>
          <w:rFonts w:ascii="Arial" w:hAnsi="Arial" w:cs="Arial"/>
          <w:color w:val="333333"/>
        </w:rPr>
        <w:t>Parets</w:t>
      </w:r>
      <w:proofErr w:type="spellEnd"/>
      <w:r w:rsidRPr="00597854">
        <w:rPr>
          <w:rFonts w:ascii="Arial" w:hAnsi="Arial" w:cs="Arial"/>
          <w:color w:val="333333"/>
        </w:rPr>
        <w:t xml:space="preserve"> said he has been bearish about the stock market since stocks kept scaling all-time highs early last year. “It was a combination of deteriorating breadth and new record highs,” he said. The S&amp;P 500 is down 13% from that record set in May.</w:t>
      </w:r>
    </w:p>
    <w:p w:rsidR="00597854" w:rsidRPr="00597854" w:rsidRDefault="00597854" w:rsidP="00597854">
      <w:pPr>
        <w:textAlignment w:val="baseline"/>
        <w:rPr>
          <w:rFonts w:ascii="Arial" w:hAnsi="Arial" w:cs="Arial"/>
          <w:color w:val="333333"/>
        </w:rPr>
      </w:pPr>
      <w:r w:rsidRPr="00597854">
        <w:rPr>
          <w:rFonts w:ascii="Arial" w:hAnsi="Arial" w:cs="Arial"/>
          <w:color w:val="333333"/>
        </w:rPr>
        <w:lastRenderedPageBreak/>
        <w:t xml:space="preserve">By deteriorating breadth, </w:t>
      </w:r>
      <w:proofErr w:type="spellStart"/>
      <w:r w:rsidRPr="00597854">
        <w:rPr>
          <w:rFonts w:ascii="Arial" w:hAnsi="Arial" w:cs="Arial"/>
          <w:color w:val="333333"/>
        </w:rPr>
        <w:t>Parets</w:t>
      </w:r>
      <w:proofErr w:type="spellEnd"/>
      <w:r w:rsidRPr="00597854">
        <w:rPr>
          <w:rFonts w:ascii="Arial" w:hAnsi="Arial" w:cs="Arial"/>
          <w:color w:val="333333"/>
        </w:rPr>
        <w:t xml:space="preserve"> is referring to outsize gains from a handful of large stocks that masked weakness in the broader index. The S&amp;P 500, which is market-cap weighted, finished 2015 down 0.7%, but on an equal-weighted basis, as measured by the Guggenheim S&amp;P 500 Equal Weight ETF </w:t>
      </w:r>
      <w:hyperlink r:id="rId10" w:history="1">
        <w:r w:rsidRPr="00597854">
          <w:rPr>
            <w:rFonts w:ascii="Arial" w:hAnsi="Arial" w:cs="Arial"/>
            <w:b/>
            <w:bCs/>
            <w:color w:val="3AA150"/>
            <w:bdr w:val="none" w:sz="0" w:space="0" w:color="auto" w:frame="1"/>
          </w:rPr>
          <w:t>RSP, +0.09%</w:t>
        </w:r>
      </w:hyperlink>
      <w:r w:rsidRPr="00597854">
        <w:rPr>
          <w:rFonts w:ascii="Arial" w:hAnsi="Arial" w:cs="Arial"/>
          <w:color w:val="333333"/>
        </w:rPr>
        <w:t> stocks fell 4.3% in 2015.</w:t>
      </w:r>
    </w:p>
    <w:p w:rsidR="00597854" w:rsidRPr="00597854" w:rsidRDefault="00597854" w:rsidP="00597854">
      <w:pPr>
        <w:textAlignment w:val="baseline"/>
        <w:rPr>
          <w:rFonts w:ascii="Arial" w:hAnsi="Arial" w:cs="Arial"/>
          <w:color w:val="333333"/>
        </w:rPr>
      </w:pPr>
      <w:r w:rsidRPr="00597854">
        <w:rPr>
          <w:rFonts w:ascii="Arial" w:hAnsi="Arial" w:cs="Arial"/>
          <w:color w:val="333333"/>
        </w:rPr>
        <w:t>Those big gainers for 2015 include so-called FANG stocks: Facebook Inc. </w:t>
      </w:r>
      <w:hyperlink r:id="rId11" w:history="1">
        <w:r w:rsidRPr="00597854">
          <w:rPr>
            <w:rFonts w:ascii="Arial" w:hAnsi="Arial" w:cs="Arial"/>
            <w:b/>
            <w:bCs/>
            <w:color w:val="3AA150"/>
            <w:bdr w:val="none" w:sz="0" w:space="0" w:color="auto" w:frame="1"/>
          </w:rPr>
          <w:t>FB, +0.39%</w:t>
        </w:r>
      </w:hyperlink>
      <w:r w:rsidRPr="00597854">
        <w:rPr>
          <w:rFonts w:ascii="Arial" w:hAnsi="Arial" w:cs="Arial"/>
          <w:color w:val="333333"/>
        </w:rPr>
        <w:t>Amazon.com </w:t>
      </w:r>
      <w:hyperlink r:id="rId12" w:history="1">
        <w:r w:rsidRPr="00597854">
          <w:rPr>
            <w:rFonts w:ascii="Arial" w:hAnsi="Arial" w:cs="Arial"/>
            <w:b/>
            <w:bCs/>
            <w:color w:val="BC4550"/>
            <w:bdr w:val="none" w:sz="0" w:space="0" w:color="auto" w:frame="1"/>
          </w:rPr>
          <w:t>AMZN, -0.24%</w:t>
        </w:r>
      </w:hyperlink>
      <w:r w:rsidRPr="00597854">
        <w:rPr>
          <w:rFonts w:ascii="Arial" w:hAnsi="Arial" w:cs="Arial"/>
          <w:color w:val="333333"/>
        </w:rPr>
        <w:t>   Netflix Inc. </w:t>
      </w:r>
      <w:hyperlink r:id="rId13" w:history="1">
        <w:r w:rsidRPr="00597854">
          <w:rPr>
            <w:rFonts w:ascii="Arial" w:hAnsi="Arial" w:cs="Arial"/>
            <w:b/>
            <w:bCs/>
            <w:color w:val="3AA150"/>
            <w:bdr w:val="none" w:sz="0" w:space="0" w:color="auto" w:frame="1"/>
          </w:rPr>
          <w:t>NFLX, +4.12%</w:t>
        </w:r>
      </w:hyperlink>
      <w:r w:rsidRPr="00597854">
        <w:rPr>
          <w:rFonts w:ascii="Arial" w:hAnsi="Arial" w:cs="Arial"/>
          <w:color w:val="333333"/>
        </w:rPr>
        <w:t> and Google parent Alphabet Inc. </w:t>
      </w:r>
      <w:hyperlink r:id="rId14" w:history="1">
        <w:r w:rsidRPr="00597854">
          <w:rPr>
            <w:rFonts w:ascii="Arial" w:hAnsi="Arial" w:cs="Arial"/>
            <w:b/>
            <w:bCs/>
            <w:color w:val="3AA150"/>
            <w:bdr w:val="none" w:sz="0" w:space="0" w:color="auto" w:frame="1"/>
          </w:rPr>
          <w:t>GOOG, +0.03%</w:t>
        </w:r>
      </w:hyperlink>
      <w:r w:rsidRPr="00597854">
        <w:rPr>
          <w:rFonts w:ascii="Arial" w:hAnsi="Arial" w:cs="Arial"/>
          <w:color w:val="333333"/>
        </w:rPr>
        <w:t> </w:t>
      </w:r>
      <w:hyperlink r:id="rId15" w:history="1">
        <w:r w:rsidRPr="00597854">
          <w:rPr>
            <w:rFonts w:ascii="Arial" w:hAnsi="Arial" w:cs="Arial"/>
            <w:b/>
            <w:bCs/>
            <w:color w:val="3AA150"/>
            <w:bdr w:val="none" w:sz="0" w:space="0" w:color="auto" w:frame="1"/>
          </w:rPr>
          <w:t>GOOGL, +0.16%</w:t>
        </w:r>
      </w:hyperlink>
      <w:r w:rsidRPr="00597854">
        <w:rPr>
          <w:rFonts w:ascii="Arial" w:hAnsi="Arial" w:cs="Arial"/>
          <w:color w:val="333333"/>
        </w:rPr>
        <w:t> Those stocks on average rose 82.7% in 2015. This year, those stocks are down more than 18% on average.</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Looking beyond the S&amp;P 500, some indexes already have moved into bear-market territory—commonly defined as a 20% drop from a recent peak.</w:t>
      </w:r>
    </w:p>
    <w:p w:rsidR="00597854" w:rsidRPr="00597854" w:rsidRDefault="00597854" w:rsidP="00597854">
      <w:pPr>
        <w:textAlignment w:val="baseline"/>
        <w:rPr>
          <w:rFonts w:ascii="Arial" w:hAnsi="Arial" w:cs="Arial"/>
          <w:color w:val="333333"/>
        </w:rPr>
      </w:pPr>
      <w:r w:rsidRPr="00597854">
        <w:rPr>
          <w:rFonts w:ascii="Arial" w:hAnsi="Arial" w:cs="Arial"/>
          <w:color w:val="333333"/>
        </w:rPr>
        <w:t>The Russell 2000 </w:t>
      </w:r>
      <w:hyperlink r:id="rId16" w:history="1">
        <w:r w:rsidRPr="00597854">
          <w:rPr>
            <w:rFonts w:ascii="Arial" w:hAnsi="Arial" w:cs="Arial"/>
            <w:b/>
            <w:bCs/>
            <w:color w:val="3AA150"/>
            <w:bdr w:val="none" w:sz="0" w:space="0" w:color="auto" w:frame="1"/>
          </w:rPr>
          <w:t>RUT, +0.03%</w:t>
        </w:r>
      </w:hyperlink>
      <w:r w:rsidRPr="00597854">
        <w:rPr>
          <w:rFonts w:ascii="Arial" w:hAnsi="Arial" w:cs="Arial"/>
          <w:color w:val="333333"/>
        </w:rPr>
        <w:t> has plunged 26% from its June 23 peak. The </w:t>
      </w:r>
      <w:hyperlink r:id="rId17" w:history="1">
        <w:r w:rsidRPr="00597854">
          <w:rPr>
            <w:rFonts w:ascii="Arial" w:hAnsi="Arial" w:cs="Arial"/>
            <w:color w:val="648C94"/>
            <w:u w:val="single"/>
          </w:rPr>
          <w:t>Dow Jones Transportation Average</w:t>
        </w:r>
      </w:hyperlink>
      <w:r w:rsidRPr="00597854">
        <w:rPr>
          <w:rFonts w:ascii="Arial" w:hAnsi="Arial" w:cs="Arial"/>
          <w:color w:val="333333"/>
        </w:rPr>
        <w:t> </w:t>
      </w:r>
      <w:hyperlink r:id="rId18" w:history="1">
        <w:r w:rsidRPr="00597854">
          <w:rPr>
            <w:rFonts w:ascii="Arial" w:hAnsi="Arial" w:cs="Arial"/>
            <w:b/>
            <w:bCs/>
            <w:color w:val="3AA150"/>
            <w:bdr w:val="none" w:sz="0" w:space="0" w:color="auto" w:frame="1"/>
          </w:rPr>
          <w:t>DJT, +1.50%</w:t>
        </w:r>
      </w:hyperlink>
      <w:r w:rsidRPr="00597854">
        <w:rPr>
          <w:rFonts w:ascii="Arial" w:hAnsi="Arial" w:cs="Arial"/>
          <w:color w:val="333333"/>
        </w:rPr>
        <w:t> </w:t>
      </w:r>
      <w:proofErr w:type="gramStart"/>
      <w:r w:rsidRPr="00597854">
        <w:rPr>
          <w:rFonts w:ascii="Arial" w:hAnsi="Arial" w:cs="Arial"/>
          <w:color w:val="333333"/>
        </w:rPr>
        <w:t>has</w:t>
      </w:r>
      <w:proofErr w:type="gramEnd"/>
      <w:r w:rsidRPr="00597854">
        <w:rPr>
          <w:rFonts w:ascii="Arial" w:hAnsi="Arial" w:cs="Arial"/>
          <w:color w:val="333333"/>
        </w:rPr>
        <w:t xml:space="preserve"> been on a downward path since Dec. 29, 2014, falling 25% since then. The transportation sector is considered a leading indicator of economic downturns, and prolonged weakness in the index is seen as a sign of a slowing economy.</w:t>
      </w:r>
    </w:p>
    <w:p w:rsidR="00597854" w:rsidRPr="00597854" w:rsidRDefault="008B46B4" w:rsidP="00597854">
      <w:pPr>
        <w:textAlignment w:val="baseline"/>
        <w:rPr>
          <w:rFonts w:ascii="Arial" w:hAnsi="Arial" w:cs="Arial"/>
          <w:color w:val="333333"/>
        </w:rPr>
      </w:pPr>
      <w:hyperlink r:id="rId19" w:history="1">
        <w:r w:rsidR="00597854" w:rsidRPr="00597854">
          <w:rPr>
            <w:rFonts w:ascii="Arial" w:hAnsi="Arial" w:cs="Arial"/>
            <w:color w:val="648C94"/>
            <w:u w:val="single"/>
          </w:rPr>
          <w:t>Opinion: What the oldest stock market index is saying now</w:t>
        </w:r>
      </w:hyperlink>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Although the S&amp;P 500 hasn’t joined those market gauges in bear-market territory, it is facing stiff headwinds. Technical analysts note that rallies over the past few weeks have been relatively small and have failed to stoke buying appetite.</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 xml:space="preserve">“For the bottom to appear, the declines need to become smaller until buyers come back in and gradually begin buying again. Bottom is not in yet,” Instinet’s </w:t>
      </w:r>
      <w:proofErr w:type="spellStart"/>
      <w:r w:rsidRPr="00597854">
        <w:rPr>
          <w:rFonts w:ascii="Arial" w:hAnsi="Arial" w:cs="Arial"/>
          <w:color w:val="333333"/>
        </w:rPr>
        <w:t>Cappelleri</w:t>
      </w:r>
      <w:proofErr w:type="spellEnd"/>
      <w:r w:rsidRPr="00597854">
        <w:rPr>
          <w:rFonts w:ascii="Arial" w:hAnsi="Arial" w:cs="Arial"/>
          <w:color w:val="333333"/>
        </w:rPr>
        <w:t xml:space="preserve"> said.</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The conventional wisdom calls for bargain hunters to step in and buy after prices have moved sharply over a short period without any justification, a condition known as an oversold market. But investor behavior since the start of the year hasn't quite followed the expected patterns, according to Katie Stockton, chief technical strategist at BTIG, another brokerage firm.</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“What is the most troubling is the lack of reaction to oversold conditions. That felt like it was in 2008. Is there something we don’t know about? Something that is not yet in news headlines?” asked Stockton.</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She remains bearish, expecting any bounce to be short-lived and weak.</w:t>
      </w:r>
    </w:p>
    <w:p w:rsidR="00597854" w:rsidRPr="00597854" w:rsidRDefault="00597854" w:rsidP="00597854">
      <w:pPr>
        <w:spacing w:after="225"/>
        <w:textAlignment w:val="baseline"/>
        <w:rPr>
          <w:rFonts w:ascii="Arial" w:hAnsi="Arial" w:cs="Arial"/>
          <w:color w:val="333333"/>
        </w:rPr>
      </w:pPr>
      <w:r w:rsidRPr="00597854">
        <w:rPr>
          <w:rFonts w:ascii="Arial" w:hAnsi="Arial" w:cs="Arial"/>
          <w:color w:val="333333"/>
        </w:rPr>
        <w:t>To be sure, neither technical analysts nor fundamental strategists are able to call the absolute top and absolute bottom in real time. In fact, by the time some of the signals confirm such calls, it becomes almost too late.</w:t>
      </w:r>
    </w:p>
    <w:p w:rsidR="00597854" w:rsidRPr="00597854" w:rsidRDefault="00597854" w:rsidP="00597854">
      <w:pPr>
        <w:textAlignment w:val="baseline"/>
        <w:rPr>
          <w:rFonts w:ascii="Arial" w:hAnsi="Arial" w:cs="Arial"/>
          <w:color w:val="333333"/>
        </w:rPr>
      </w:pPr>
      <w:r w:rsidRPr="00597854">
        <w:rPr>
          <w:rFonts w:ascii="Arial" w:hAnsi="Arial" w:cs="Arial"/>
          <w:color w:val="333333"/>
        </w:rPr>
        <w:t>But the chartists are forecasting more pain before a sustainable rebound.</w:t>
      </w:r>
    </w:p>
    <w:p w:rsidR="00BD3BC2" w:rsidRDefault="00BD3BC2"/>
    <w:sectPr w:rsidR="00BD3BC2" w:rsidSect="00597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54"/>
    <w:rsid w:val="002B57E7"/>
    <w:rsid w:val="004F6A47"/>
    <w:rsid w:val="00597854"/>
    <w:rsid w:val="006E08FC"/>
    <w:rsid w:val="00731393"/>
    <w:rsid w:val="007F66C2"/>
    <w:rsid w:val="008B46B4"/>
    <w:rsid w:val="00960E5E"/>
    <w:rsid w:val="00BD3BC2"/>
    <w:rsid w:val="00C401FA"/>
    <w:rsid w:val="00E6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7854"/>
    <w:rPr>
      <w:rFonts w:ascii="Tahoma" w:hAnsi="Tahoma" w:cs="Tahoma"/>
      <w:sz w:val="16"/>
      <w:szCs w:val="16"/>
    </w:rPr>
  </w:style>
  <w:style w:type="character" w:customStyle="1" w:styleId="BalloonTextChar">
    <w:name w:val="Balloon Text Char"/>
    <w:basedOn w:val="DefaultParagraphFont"/>
    <w:link w:val="BalloonText"/>
    <w:rsid w:val="005978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97854"/>
    <w:rPr>
      <w:rFonts w:ascii="Tahoma" w:hAnsi="Tahoma" w:cs="Tahoma"/>
      <w:sz w:val="16"/>
      <w:szCs w:val="16"/>
    </w:rPr>
  </w:style>
  <w:style w:type="character" w:customStyle="1" w:styleId="BalloonTextChar">
    <w:name w:val="Balloon Text Char"/>
    <w:basedOn w:val="DefaultParagraphFont"/>
    <w:link w:val="BalloonText"/>
    <w:rsid w:val="00597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27962">
      <w:bodyDiv w:val="1"/>
      <w:marLeft w:val="0"/>
      <w:marRight w:val="0"/>
      <w:marTop w:val="0"/>
      <w:marBottom w:val="0"/>
      <w:divBdr>
        <w:top w:val="none" w:sz="0" w:space="0" w:color="auto"/>
        <w:left w:val="none" w:sz="0" w:space="0" w:color="auto"/>
        <w:bottom w:val="none" w:sz="0" w:space="0" w:color="auto"/>
        <w:right w:val="none" w:sz="0" w:space="0" w:color="auto"/>
      </w:divBdr>
      <w:divsChild>
        <w:div w:id="1935749206">
          <w:marLeft w:val="0"/>
          <w:marRight w:val="0"/>
          <w:marTop w:val="0"/>
          <w:marBottom w:val="0"/>
          <w:divBdr>
            <w:top w:val="none" w:sz="0" w:space="0" w:color="auto"/>
            <w:left w:val="none" w:sz="0" w:space="0" w:color="auto"/>
            <w:bottom w:val="none" w:sz="0" w:space="0" w:color="auto"/>
            <w:right w:val="none" w:sz="0" w:space="0" w:color="auto"/>
          </w:divBdr>
          <w:divsChild>
            <w:div w:id="154154568">
              <w:marLeft w:val="0"/>
              <w:marRight w:val="0"/>
              <w:marTop w:val="0"/>
              <w:marBottom w:val="0"/>
              <w:divBdr>
                <w:top w:val="none" w:sz="0" w:space="0" w:color="auto"/>
                <w:left w:val="none" w:sz="0" w:space="0" w:color="auto"/>
                <w:bottom w:val="none" w:sz="0" w:space="0" w:color="auto"/>
                <w:right w:val="none" w:sz="0" w:space="0" w:color="auto"/>
              </w:divBdr>
            </w:div>
          </w:divsChild>
        </w:div>
        <w:div w:id="1695424764">
          <w:marLeft w:val="0"/>
          <w:marRight w:val="0"/>
          <w:marTop w:val="0"/>
          <w:marBottom w:val="0"/>
          <w:divBdr>
            <w:top w:val="none" w:sz="0" w:space="0" w:color="auto"/>
            <w:left w:val="none" w:sz="0" w:space="0" w:color="auto"/>
            <w:bottom w:val="none" w:sz="0" w:space="0" w:color="auto"/>
            <w:right w:val="none" w:sz="0" w:space="0" w:color="auto"/>
          </w:divBdr>
          <w:divsChild>
            <w:div w:id="1078669358">
              <w:marLeft w:val="0"/>
              <w:marRight w:val="0"/>
              <w:marTop w:val="0"/>
              <w:marBottom w:val="300"/>
              <w:divBdr>
                <w:top w:val="none" w:sz="0" w:space="0" w:color="auto"/>
                <w:left w:val="none" w:sz="0" w:space="0" w:color="auto"/>
                <w:bottom w:val="none" w:sz="0" w:space="0" w:color="auto"/>
                <w:right w:val="none" w:sz="0" w:space="0" w:color="auto"/>
              </w:divBdr>
              <w:divsChild>
                <w:div w:id="1843545221">
                  <w:marLeft w:val="-60"/>
                  <w:marRight w:val="0"/>
                  <w:marTop w:val="0"/>
                  <w:marBottom w:val="0"/>
                  <w:divBdr>
                    <w:top w:val="none" w:sz="0" w:space="0" w:color="auto"/>
                    <w:left w:val="none" w:sz="0" w:space="0" w:color="auto"/>
                    <w:bottom w:val="none" w:sz="0" w:space="0" w:color="auto"/>
                    <w:right w:val="none" w:sz="0" w:space="0" w:color="auto"/>
                  </w:divBdr>
                </w:div>
              </w:divsChild>
            </w:div>
            <w:div w:id="1886485542">
              <w:marLeft w:val="0"/>
              <w:marRight w:val="0"/>
              <w:marTop w:val="0"/>
              <w:marBottom w:val="0"/>
              <w:divBdr>
                <w:top w:val="none" w:sz="0" w:space="0" w:color="auto"/>
                <w:left w:val="none" w:sz="0" w:space="0" w:color="auto"/>
                <w:bottom w:val="none" w:sz="0" w:space="0" w:color="auto"/>
                <w:right w:val="none" w:sz="0" w:space="0" w:color="auto"/>
              </w:divBdr>
            </w:div>
          </w:divsChild>
        </w:div>
        <w:div w:id="1056393118">
          <w:marLeft w:val="0"/>
          <w:marRight w:val="0"/>
          <w:marTop w:val="0"/>
          <w:marBottom w:val="0"/>
          <w:divBdr>
            <w:top w:val="none" w:sz="0" w:space="0" w:color="auto"/>
            <w:left w:val="none" w:sz="0" w:space="0" w:color="auto"/>
            <w:bottom w:val="none" w:sz="0" w:space="0" w:color="auto"/>
            <w:right w:val="none" w:sz="0" w:space="0" w:color="auto"/>
          </w:divBdr>
          <w:divsChild>
            <w:div w:id="1729567924">
              <w:marLeft w:val="0"/>
              <w:marRight w:val="0"/>
              <w:marTop w:val="0"/>
              <w:marBottom w:val="0"/>
              <w:divBdr>
                <w:top w:val="none" w:sz="0" w:space="0" w:color="auto"/>
                <w:left w:val="none" w:sz="0" w:space="0" w:color="auto"/>
                <w:bottom w:val="none" w:sz="0" w:space="0" w:color="auto"/>
                <w:right w:val="none" w:sz="0" w:space="0" w:color="auto"/>
              </w:divBdr>
            </w:div>
            <w:div w:id="1645620939">
              <w:marLeft w:val="0"/>
              <w:marRight w:val="0"/>
              <w:marTop w:val="0"/>
              <w:marBottom w:val="0"/>
              <w:divBdr>
                <w:top w:val="none" w:sz="0" w:space="0" w:color="auto"/>
                <w:left w:val="none" w:sz="0" w:space="0" w:color="auto"/>
                <w:bottom w:val="none" w:sz="0" w:space="0" w:color="auto"/>
                <w:right w:val="none" w:sz="0" w:space="0" w:color="auto"/>
              </w:divBdr>
              <w:divsChild>
                <w:div w:id="59518531">
                  <w:marLeft w:val="0"/>
                  <w:marRight w:val="0"/>
                  <w:marTop w:val="0"/>
                  <w:marBottom w:val="0"/>
                  <w:divBdr>
                    <w:top w:val="none" w:sz="0" w:space="0" w:color="auto"/>
                    <w:left w:val="none" w:sz="0" w:space="0" w:color="auto"/>
                    <w:bottom w:val="none" w:sz="0" w:space="0" w:color="auto"/>
                    <w:right w:val="none" w:sz="0" w:space="0" w:color="auto"/>
                  </w:divBdr>
                  <w:divsChild>
                    <w:div w:id="587621566">
                      <w:marLeft w:val="0"/>
                      <w:marRight w:val="0"/>
                      <w:marTop w:val="0"/>
                      <w:marBottom w:val="0"/>
                      <w:divBdr>
                        <w:top w:val="none" w:sz="0" w:space="0" w:color="auto"/>
                        <w:left w:val="none" w:sz="0" w:space="0" w:color="auto"/>
                        <w:bottom w:val="none" w:sz="0" w:space="0" w:color="auto"/>
                        <w:right w:val="none" w:sz="0" w:space="0" w:color="auto"/>
                      </w:divBdr>
                      <w:divsChild>
                        <w:div w:id="1824153090">
                          <w:marLeft w:val="0"/>
                          <w:marRight w:val="0"/>
                          <w:marTop w:val="0"/>
                          <w:marBottom w:val="75"/>
                          <w:divBdr>
                            <w:top w:val="none" w:sz="0" w:space="0" w:color="auto"/>
                            <w:left w:val="none" w:sz="0" w:space="0" w:color="auto"/>
                            <w:bottom w:val="none" w:sz="0" w:space="0" w:color="auto"/>
                            <w:right w:val="none" w:sz="0" w:space="0" w:color="auto"/>
                          </w:divBdr>
                        </w:div>
                        <w:div w:id="3805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3493">
                  <w:marLeft w:val="0"/>
                  <w:marRight w:val="0"/>
                  <w:marTop w:val="0"/>
                  <w:marBottom w:val="300"/>
                  <w:divBdr>
                    <w:top w:val="none" w:sz="0" w:space="0" w:color="auto"/>
                    <w:left w:val="none" w:sz="0" w:space="0" w:color="auto"/>
                    <w:bottom w:val="none" w:sz="0" w:space="0" w:color="auto"/>
                    <w:right w:val="none" w:sz="0" w:space="0" w:color="auto"/>
                  </w:divBdr>
                  <w:divsChild>
                    <w:div w:id="1614942677">
                      <w:marLeft w:val="0"/>
                      <w:marRight w:val="0"/>
                      <w:marTop w:val="0"/>
                      <w:marBottom w:val="0"/>
                      <w:divBdr>
                        <w:top w:val="single" w:sz="6" w:space="0" w:color="E1E1E1"/>
                        <w:left w:val="single" w:sz="6" w:space="0" w:color="E1E1E1"/>
                        <w:bottom w:val="single" w:sz="6" w:space="0" w:color="E1E1E1"/>
                        <w:right w:val="single" w:sz="6" w:space="0" w:color="E1E1E1"/>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watch.com/investing/index/spx?mod=MW_story_quote" TargetMode="External"/><Relationship Id="rId13" Type="http://schemas.openxmlformats.org/officeDocument/2006/relationships/hyperlink" Target="http://www.marketwatch.com/investing/stock/nflx?mod=MW_story_quote" TargetMode="External"/><Relationship Id="rId18" Type="http://schemas.openxmlformats.org/officeDocument/2006/relationships/hyperlink" Target="http://www.marketwatch.com/investing/index/djt?mod=MW_story_quot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www.marketwatch.com/investing/stock/amzn?mod=MW_story_quote" TargetMode="External"/><Relationship Id="rId17" Type="http://schemas.openxmlformats.org/officeDocument/2006/relationships/hyperlink" Target="http://www.marketwatch.com/story/dow-transports-dive-into-a-bear-market-first-time-since-2011-2015-12-18" TargetMode="External"/><Relationship Id="rId2" Type="http://schemas.microsoft.com/office/2007/relationships/stylesWithEffects" Target="stylesWithEffects.xml"/><Relationship Id="rId16" Type="http://schemas.openxmlformats.org/officeDocument/2006/relationships/hyperlink" Target="http://www.marketwatch.com/investing/index/rut?mod=MW_story_quot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ketwatch.com/topics/journalists/anora-mahmudova" TargetMode="External"/><Relationship Id="rId11" Type="http://schemas.openxmlformats.org/officeDocument/2006/relationships/hyperlink" Target="http://www.marketwatch.com/investing/stock/fb?mod=MW_story_quote" TargetMode="External"/><Relationship Id="rId5" Type="http://schemas.openxmlformats.org/officeDocument/2006/relationships/image" Target="media/image1.jpeg"/><Relationship Id="rId15" Type="http://schemas.openxmlformats.org/officeDocument/2006/relationships/hyperlink" Target="http://www.marketwatch.com/investing/stock/googl?mod=MW_story_quote" TargetMode="External"/><Relationship Id="rId10" Type="http://schemas.openxmlformats.org/officeDocument/2006/relationships/hyperlink" Target="http://www.marketwatch.com/investing/fund/rsp?mod=MW_story_quote" TargetMode="External"/><Relationship Id="rId19" Type="http://schemas.openxmlformats.org/officeDocument/2006/relationships/hyperlink" Target="http://www.marketwatch.com/story/what-the-oldest-stock-market-index-is-saying-now-2015-12-1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marketwatch.com/investing/stock/goog?mod=MW_story_quo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5319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2016-02-09T20:48:00Z</dcterms:created>
  <dcterms:modified xsi:type="dcterms:W3CDTF">2016-02-09T20:48:00Z</dcterms:modified>
</cp:coreProperties>
</file>