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155" w:rsidRDefault="00621155" w:rsidP="00621155">
      <w:pPr>
        <w:pStyle w:val="Heading2"/>
        <w:jc w:val="center"/>
        <w:rPr>
          <w:b/>
          <w:i w:val="0"/>
        </w:rPr>
      </w:pPr>
      <w:r>
        <w:rPr>
          <w:b/>
          <w:i w:val="0"/>
        </w:rPr>
        <w:t>CHAPTER 9</w:t>
      </w:r>
    </w:p>
    <w:p w:rsidR="00621155" w:rsidRDefault="00621155" w:rsidP="00621155">
      <w:pPr>
        <w:pStyle w:val="Heading4"/>
      </w:pPr>
      <w:r>
        <w:t>Risk and the Cost of Capital</w:t>
      </w:r>
    </w:p>
    <w:p w:rsidR="00621155" w:rsidRDefault="00621155" w:rsidP="00621155">
      <w:pPr>
        <w:jc w:val="center"/>
        <w:rPr>
          <w:b/>
        </w:rPr>
      </w:pPr>
    </w:p>
    <w:p w:rsidR="00621155" w:rsidRDefault="00621155" w:rsidP="00621155">
      <w:pPr>
        <w:pStyle w:val="Heading2"/>
        <w:rPr>
          <w:b/>
        </w:rPr>
      </w:pPr>
    </w:p>
    <w:p w:rsidR="00621155" w:rsidRDefault="00621155" w:rsidP="00621155">
      <w:pPr>
        <w:pStyle w:val="Heading2"/>
        <w:rPr>
          <w:b/>
        </w:rPr>
      </w:pPr>
      <w:r>
        <w:rPr>
          <w:b/>
        </w:rPr>
        <w:t>Answers to Problem Sets</w:t>
      </w:r>
    </w:p>
    <w:p w:rsidR="00621155" w:rsidRDefault="00621155" w:rsidP="00621155"/>
    <w:p w:rsidR="00621155" w:rsidRDefault="00621155" w:rsidP="00621155">
      <w:pPr>
        <w:tabs>
          <w:tab w:val="left" w:pos="720"/>
        </w:tabs>
        <w:rPr>
          <w:iCs/>
        </w:rPr>
      </w:pPr>
      <w:r>
        <w:rPr>
          <w:iCs/>
        </w:rPr>
        <w:t xml:space="preserve">1. </w:t>
      </w:r>
      <w:r>
        <w:rPr>
          <w:iCs/>
        </w:rPr>
        <w:tab/>
        <w:t>Overestimate</w:t>
      </w:r>
    </w:p>
    <w:p w:rsidR="00621155" w:rsidRDefault="00621155" w:rsidP="00621155">
      <w:pPr>
        <w:tabs>
          <w:tab w:val="left" w:pos="360"/>
        </w:tabs>
        <w:ind w:left="576" w:hanging="576"/>
        <w:rPr>
          <w:rFonts w:ascii="Cambria" w:hAnsi="Cambria" w:cs="Palatino-Italic"/>
          <w:iCs/>
          <w:sz w:val="22"/>
          <w:szCs w:val="22"/>
        </w:rPr>
      </w:pPr>
    </w:p>
    <w:p w:rsidR="00621155" w:rsidRDefault="00621155" w:rsidP="00621155">
      <w:pPr>
        <w:tabs>
          <w:tab w:val="left" w:pos="360"/>
        </w:tabs>
        <w:ind w:left="576" w:hanging="576"/>
        <w:rPr>
          <w:rFonts w:ascii="Cambria" w:hAnsi="Cambria" w:cs="Palatino-Italic"/>
          <w:iCs/>
          <w:sz w:val="22"/>
          <w:szCs w:val="22"/>
        </w:rPr>
      </w:pPr>
    </w:p>
    <w:p w:rsidR="00621155" w:rsidRDefault="00621155" w:rsidP="00621155">
      <w:pPr>
        <w:ind w:left="360" w:hanging="360"/>
        <w:rPr>
          <w:lang w:val="en-GB"/>
        </w:rPr>
      </w:pPr>
      <w:r>
        <w:rPr>
          <w:lang w:val="en-GB"/>
        </w:rPr>
        <w:t xml:space="preserve">2.  </w:t>
      </w:r>
      <w:r>
        <w:rPr>
          <w:lang w:val="en-GB"/>
        </w:rPr>
        <w:tab/>
      </w:r>
      <w:r>
        <w:rPr>
          <w:lang w:val="en-GB"/>
        </w:rPr>
        <w:tab/>
        <w:t>Company cost of capital = 10 x .4 + (10 + .5 x 8) x</w:t>
      </w:r>
      <w:r w:rsidRPr="007B3180">
        <w:rPr>
          <w:lang w:val="en-GB"/>
        </w:rPr>
        <w:t xml:space="preserve"> </w:t>
      </w:r>
      <w:r>
        <w:rPr>
          <w:lang w:val="en-GB"/>
        </w:rPr>
        <w:t>.6 = 12.4%</w:t>
      </w:r>
    </w:p>
    <w:p w:rsidR="00621155" w:rsidRDefault="00621155" w:rsidP="00621155">
      <w:pPr>
        <w:ind w:left="360" w:hanging="360"/>
        <w:rPr>
          <w:lang w:val="en-GB"/>
        </w:rPr>
      </w:pPr>
      <w:r>
        <w:rPr>
          <w:lang w:val="en-GB"/>
        </w:rPr>
        <w:t xml:space="preserve">     </w:t>
      </w:r>
      <w:r>
        <w:rPr>
          <w:lang w:val="en-GB"/>
        </w:rPr>
        <w:tab/>
      </w:r>
      <w:r>
        <w:rPr>
          <w:lang w:val="en-GB"/>
        </w:rPr>
        <w:tab/>
        <w:t>After-tax WACC = (1 - .35) x 10 x .4 + (10 + .5 x 8) x .6 = 11.0%</w:t>
      </w:r>
    </w:p>
    <w:p w:rsidR="00621155" w:rsidRDefault="00621155" w:rsidP="00621155">
      <w:pPr>
        <w:ind w:left="360" w:hanging="360"/>
        <w:rPr>
          <w:lang w:val="en-GB"/>
        </w:rPr>
      </w:pPr>
    </w:p>
    <w:p w:rsidR="00621155" w:rsidRDefault="00621155" w:rsidP="00621155">
      <w:pPr>
        <w:ind w:left="360" w:hanging="360"/>
        <w:rPr>
          <w:lang w:val="en-GB"/>
        </w:rPr>
      </w:pPr>
    </w:p>
    <w:p w:rsidR="00621155" w:rsidRDefault="00621155" w:rsidP="00621155">
      <w:pPr>
        <w:ind w:left="720" w:hanging="720"/>
        <w:rPr>
          <w:lang w:val="en-GB"/>
        </w:rPr>
      </w:pPr>
      <w:r>
        <w:rPr>
          <w:lang w:val="en-GB"/>
        </w:rPr>
        <w:t xml:space="preserve">3.  </w:t>
      </w:r>
      <w:r>
        <w:rPr>
          <w:lang w:val="en-GB"/>
        </w:rPr>
        <w:tab/>
        <w:t>.297, or 29.7% of variation was due to market movements; .703 or 70.3% of the variation was diversifiable.  Diversifiable risk shows up in the scatter about the fitted line.  The standard error of the estimated beta was unusually high at .436.  If you said that the true beta was 2 x .436 = .872 either side of your estimate, you would have a 95% chance of being right.</w:t>
      </w:r>
    </w:p>
    <w:p w:rsidR="00621155" w:rsidRDefault="00621155" w:rsidP="00621155">
      <w:pPr>
        <w:ind w:left="360" w:hanging="360"/>
        <w:rPr>
          <w:lang w:val="en-GB"/>
        </w:rPr>
      </w:pPr>
    </w:p>
    <w:p w:rsidR="00621155" w:rsidRDefault="00621155" w:rsidP="00621155">
      <w:pPr>
        <w:ind w:left="360" w:hanging="360"/>
        <w:rPr>
          <w:lang w:val="en-GB"/>
        </w:rPr>
      </w:pPr>
    </w:p>
    <w:p w:rsidR="00621155" w:rsidRDefault="00621155" w:rsidP="00621155">
      <w:pPr>
        <w:rPr>
          <w:lang w:val="en-GB"/>
        </w:rPr>
      </w:pPr>
      <w:r>
        <w:rPr>
          <w:lang w:val="en-GB"/>
        </w:rPr>
        <w:t xml:space="preserve">4.   </w:t>
      </w:r>
      <w:r>
        <w:rPr>
          <w:lang w:val="en-GB"/>
        </w:rPr>
        <w:tab/>
      </w:r>
      <w:proofErr w:type="gramStart"/>
      <w:r>
        <w:rPr>
          <w:lang w:val="en-GB"/>
        </w:rPr>
        <w:t>a</w:t>
      </w:r>
      <w:proofErr w:type="gramEnd"/>
      <w:r>
        <w:rPr>
          <w:lang w:val="en-GB"/>
        </w:rPr>
        <w:t xml:space="preserve">. </w:t>
      </w:r>
      <w:r>
        <w:rPr>
          <w:lang w:val="en-GB"/>
        </w:rPr>
        <w:tab/>
      </w:r>
      <w:proofErr w:type="gramStart"/>
      <w:r>
        <w:rPr>
          <w:lang w:val="en-GB"/>
        </w:rPr>
        <w:t>The expected return on debt.</w:t>
      </w:r>
      <w:proofErr w:type="gramEnd"/>
      <w:r>
        <w:rPr>
          <w:lang w:val="en-GB"/>
        </w:rPr>
        <w:t xml:space="preserve">  If the debt has very low default risk, this is </w:t>
      </w:r>
    </w:p>
    <w:p w:rsidR="00621155" w:rsidRDefault="00621155" w:rsidP="00621155">
      <w:pPr>
        <w:ind w:left="720" w:firstLine="720"/>
        <w:rPr>
          <w:lang w:val="en-GB"/>
        </w:rPr>
      </w:pPr>
      <w:proofErr w:type="gramStart"/>
      <w:r>
        <w:rPr>
          <w:lang w:val="en-GB"/>
        </w:rPr>
        <w:t>close</w:t>
      </w:r>
      <w:proofErr w:type="gramEnd"/>
      <w:r>
        <w:rPr>
          <w:lang w:val="en-GB"/>
        </w:rPr>
        <w:t xml:space="preserve"> to its yield to maturity.</w:t>
      </w:r>
    </w:p>
    <w:p w:rsidR="00621155" w:rsidRDefault="00621155" w:rsidP="00621155">
      <w:pPr>
        <w:ind w:left="360" w:hanging="360"/>
        <w:rPr>
          <w:lang w:val="en-GB"/>
        </w:rPr>
      </w:pPr>
    </w:p>
    <w:p w:rsidR="00621155" w:rsidRDefault="00621155" w:rsidP="00621155">
      <w:pPr>
        <w:ind w:left="360" w:firstLine="360"/>
        <w:rPr>
          <w:lang w:val="en-GB"/>
        </w:rPr>
      </w:pPr>
      <w:r>
        <w:rPr>
          <w:lang w:val="en-GB"/>
        </w:rPr>
        <w:t xml:space="preserve">b. </w:t>
      </w:r>
      <w:r>
        <w:rPr>
          <w:lang w:val="en-GB"/>
        </w:rPr>
        <w:tab/>
        <w:t>The expected return on equity.</w:t>
      </w:r>
    </w:p>
    <w:p w:rsidR="00621155" w:rsidRDefault="00621155" w:rsidP="00621155">
      <w:pPr>
        <w:ind w:left="360"/>
        <w:rPr>
          <w:lang w:val="en-GB"/>
        </w:rPr>
      </w:pPr>
    </w:p>
    <w:p w:rsidR="00621155" w:rsidRDefault="00621155" w:rsidP="00621155">
      <w:pPr>
        <w:ind w:left="1440" w:hanging="720"/>
        <w:rPr>
          <w:lang w:val="en-GB"/>
        </w:rPr>
      </w:pPr>
      <w:r>
        <w:rPr>
          <w:lang w:val="en-GB"/>
        </w:rPr>
        <w:t xml:space="preserve">c. </w:t>
      </w:r>
      <w:r>
        <w:rPr>
          <w:lang w:val="en-GB"/>
        </w:rPr>
        <w:tab/>
        <w:t>A weighted average of the cost of equity and the after-tax cost of debt, where the weights are the relative market values of the firm’s debt and equity.</w:t>
      </w:r>
    </w:p>
    <w:p w:rsidR="00621155" w:rsidRDefault="00621155" w:rsidP="00621155">
      <w:pPr>
        <w:ind w:left="360"/>
        <w:rPr>
          <w:lang w:val="en-GB"/>
        </w:rPr>
      </w:pPr>
    </w:p>
    <w:p w:rsidR="00621155" w:rsidRDefault="00621155" w:rsidP="00621155">
      <w:pPr>
        <w:ind w:left="1440" w:hanging="720"/>
        <w:rPr>
          <w:lang w:val="en-GB"/>
        </w:rPr>
      </w:pPr>
      <w:r>
        <w:rPr>
          <w:lang w:val="en-GB"/>
        </w:rPr>
        <w:t xml:space="preserve">d. </w:t>
      </w:r>
      <w:r>
        <w:rPr>
          <w:lang w:val="en-GB"/>
        </w:rPr>
        <w:tab/>
        <w:t>The change in</w:t>
      </w:r>
      <w:r w:rsidRPr="00A2772F">
        <w:rPr>
          <w:lang w:val="en-GB"/>
        </w:rPr>
        <w:t xml:space="preserve"> </w:t>
      </w:r>
      <w:r>
        <w:rPr>
          <w:lang w:val="en-GB"/>
        </w:rPr>
        <w:t>the return of the stock for each additional 1% change in the market return.</w:t>
      </w:r>
    </w:p>
    <w:p w:rsidR="00621155" w:rsidRDefault="00621155" w:rsidP="00621155">
      <w:pPr>
        <w:ind w:left="360"/>
        <w:rPr>
          <w:lang w:val="en-GB"/>
        </w:rPr>
      </w:pPr>
    </w:p>
    <w:p w:rsidR="00621155" w:rsidRDefault="00621155" w:rsidP="00621155">
      <w:pPr>
        <w:ind w:left="1440" w:hanging="720"/>
        <w:rPr>
          <w:lang w:val="en-GB"/>
        </w:rPr>
      </w:pPr>
      <w:r>
        <w:rPr>
          <w:lang w:val="en-GB"/>
        </w:rPr>
        <w:t xml:space="preserve">e. </w:t>
      </w:r>
      <w:r>
        <w:rPr>
          <w:lang w:val="en-GB"/>
        </w:rPr>
        <w:tab/>
        <w:t>The change in</w:t>
      </w:r>
      <w:r w:rsidRPr="00A2772F">
        <w:rPr>
          <w:lang w:val="en-GB"/>
        </w:rPr>
        <w:t xml:space="preserve"> </w:t>
      </w:r>
      <w:r>
        <w:rPr>
          <w:lang w:val="en-GB"/>
        </w:rPr>
        <w:t>the return on a portfolio of all the firm’s securities (debt and equity) for each additional 1% change in the market return.</w:t>
      </w:r>
    </w:p>
    <w:p w:rsidR="00621155" w:rsidRDefault="00621155" w:rsidP="00621155">
      <w:pPr>
        <w:ind w:left="360"/>
        <w:rPr>
          <w:lang w:val="en-GB"/>
        </w:rPr>
      </w:pPr>
    </w:p>
    <w:p w:rsidR="00621155" w:rsidRDefault="00621155" w:rsidP="00621155">
      <w:pPr>
        <w:ind w:left="1440" w:hanging="720"/>
        <w:rPr>
          <w:lang w:val="en-GB"/>
        </w:rPr>
      </w:pPr>
      <w:r>
        <w:rPr>
          <w:lang w:val="en-GB"/>
        </w:rPr>
        <w:t xml:space="preserve">f. </w:t>
      </w:r>
      <w:r>
        <w:rPr>
          <w:lang w:val="en-GB"/>
        </w:rPr>
        <w:tab/>
        <w:t xml:space="preserve">A company specializing in one activity that is similar to that of a division of a more diversified company.  </w:t>
      </w:r>
    </w:p>
    <w:p w:rsidR="00621155" w:rsidRDefault="00621155" w:rsidP="00621155">
      <w:pPr>
        <w:ind w:left="360"/>
        <w:rPr>
          <w:lang w:val="en-GB"/>
        </w:rPr>
      </w:pPr>
    </w:p>
    <w:p w:rsidR="00621155" w:rsidRDefault="00621155" w:rsidP="00621155">
      <w:pPr>
        <w:ind w:left="1440" w:hanging="720"/>
        <w:rPr>
          <w:lang w:val="en-GB"/>
        </w:rPr>
      </w:pPr>
      <w:r>
        <w:rPr>
          <w:lang w:val="en-GB"/>
        </w:rPr>
        <w:t xml:space="preserve">g. </w:t>
      </w:r>
      <w:r>
        <w:rPr>
          <w:lang w:val="en-GB"/>
        </w:rPr>
        <w:tab/>
        <w:t xml:space="preserve">A certain cash flow occurring at time </w:t>
      </w:r>
      <w:r>
        <w:rPr>
          <w:i/>
          <w:lang w:val="en-GB"/>
        </w:rPr>
        <w:t xml:space="preserve">t </w:t>
      </w:r>
      <w:r>
        <w:rPr>
          <w:lang w:val="en-GB"/>
        </w:rPr>
        <w:t xml:space="preserve">with the same present value as an uncertain cash flow at time </w:t>
      </w:r>
      <w:r>
        <w:rPr>
          <w:i/>
          <w:lang w:val="en-GB"/>
        </w:rPr>
        <w:t>t</w:t>
      </w:r>
      <w:r>
        <w:rPr>
          <w:lang w:val="en-GB"/>
        </w:rPr>
        <w:t>.</w:t>
      </w:r>
    </w:p>
    <w:p w:rsidR="00621155" w:rsidRDefault="00621155" w:rsidP="00621155">
      <w:pPr>
        <w:ind w:left="360" w:hanging="360"/>
        <w:rPr>
          <w:lang w:val="en-GB"/>
        </w:rPr>
      </w:pPr>
    </w:p>
    <w:p w:rsidR="00621155" w:rsidRDefault="00621155" w:rsidP="00621155">
      <w:pPr>
        <w:ind w:left="360" w:hanging="360"/>
        <w:rPr>
          <w:lang w:val="en-GB"/>
        </w:rPr>
      </w:pPr>
    </w:p>
    <w:p w:rsidR="00621155" w:rsidRDefault="00621155" w:rsidP="00621155">
      <w:pPr>
        <w:ind w:left="360" w:hanging="360"/>
        <w:rPr>
          <w:lang w:val="en-GB"/>
        </w:rPr>
      </w:pPr>
      <w:r>
        <w:rPr>
          <w:lang w:val="en-GB"/>
        </w:rPr>
        <w:t xml:space="preserve">5.   </w:t>
      </w:r>
      <w:r>
        <w:rPr>
          <w:lang w:val="en-GB"/>
        </w:rPr>
        <w:tab/>
        <w:t>Beta of assets = .5 × .15 + .5 × 1.25 = .7</w:t>
      </w:r>
    </w:p>
    <w:p w:rsidR="00621155" w:rsidRDefault="00621155" w:rsidP="00621155">
      <w:pPr>
        <w:ind w:left="360" w:hanging="360"/>
        <w:rPr>
          <w:lang w:val="en-GB"/>
        </w:rPr>
      </w:pPr>
    </w:p>
    <w:p w:rsidR="00621155" w:rsidRDefault="00621155" w:rsidP="00621155">
      <w:pPr>
        <w:ind w:left="720" w:hanging="720"/>
        <w:rPr>
          <w:lang w:val="en-GB"/>
        </w:rPr>
      </w:pPr>
      <w:r>
        <w:rPr>
          <w:lang w:val="en-GB"/>
        </w:rPr>
        <w:br w:type="page"/>
      </w:r>
      <w:r>
        <w:rPr>
          <w:lang w:val="en-GB"/>
        </w:rPr>
        <w:lastRenderedPageBreak/>
        <w:t xml:space="preserve">6.   </w:t>
      </w:r>
      <w:r>
        <w:rPr>
          <w:lang w:val="en-GB"/>
        </w:rPr>
        <w:tab/>
        <w:t>A diversifiable risk has no affect on the risk of a well-diversified portfolio and therefore no affect on the project’s beta.  If a risk is diversifiable it does not change the cost of capital for the project.  However, any possibility of bad outcomes does need to be factored in when calculating expected cash flows.</w:t>
      </w:r>
    </w:p>
    <w:p w:rsidR="00621155" w:rsidRDefault="00621155" w:rsidP="00621155">
      <w:pPr>
        <w:ind w:left="360" w:hanging="360"/>
        <w:rPr>
          <w:lang w:val="en-GB"/>
        </w:rPr>
      </w:pPr>
    </w:p>
    <w:p w:rsidR="00621155" w:rsidRDefault="00621155" w:rsidP="00621155">
      <w:pPr>
        <w:ind w:left="360" w:hanging="360"/>
        <w:rPr>
          <w:lang w:val="en-GB"/>
        </w:rPr>
      </w:pPr>
    </w:p>
    <w:p w:rsidR="00621155" w:rsidRDefault="00621155" w:rsidP="00621155">
      <w:pPr>
        <w:ind w:left="720" w:hanging="720"/>
        <w:rPr>
          <w:lang w:val="en-GB"/>
        </w:rPr>
      </w:pPr>
      <w:r>
        <w:rPr>
          <w:lang w:val="en-GB"/>
        </w:rPr>
        <w:t xml:space="preserve">7.   </w:t>
      </w:r>
      <w:r>
        <w:rPr>
          <w:lang w:val="en-GB"/>
        </w:rPr>
        <w:tab/>
        <w:t xml:space="preserve">Suppose that the expected cash flow in Year 1 is 100, but the project proposer provides an estimate of 100 × 115/108 = 106.5.  Discounting this figure at 15% gives the same result as discounting the true expected cash flow at 8%.  Adjusting the discount rate, therefore, works for the first cash flow but it does not do so for later cash flows (e.g., discounting a 2-year cash flow of 106.5 by 15% is </w:t>
      </w:r>
      <w:r w:rsidRPr="001462BB">
        <w:rPr>
          <w:i/>
          <w:lang w:val="en-GB"/>
        </w:rPr>
        <w:t>not</w:t>
      </w:r>
      <w:r>
        <w:rPr>
          <w:lang w:val="en-GB"/>
        </w:rPr>
        <w:t xml:space="preserve"> equivalent to discounting a 2-year flow of 100 by 8%).</w:t>
      </w:r>
    </w:p>
    <w:p w:rsidR="00621155" w:rsidRDefault="00621155" w:rsidP="00621155">
      <w:pPr>
        <w:ind w:left="360" w:hanging="360"/>
        <w:rPr>
          <w:lang w:val="en-GB"/>
        </w:rPr>
      </w:pPr>
    </w:p>
    <w:p w:rsidR="00621155" w:rsidRDefault="00621155" w:rsidP="00621155">
      <w:pPr>
        <w:ind w:left="360" w:hanging="360"/>
        <w:rPr>
          <w:lang w:val="en-GB"/>
        </w:rPr>
      </w:pPr>
    </w:p>
    <w:p w:rsidR="00621155" w:rsidRDefault="00621155" w:rsidP="00621155">
      <w:pPr>
        <w:ind w:left="360" w:hanging="360"/>
        <w:rPr>
          <w:lang w:val="en-GB"/>
        </w:rPr>
      </w:pPr>
      <w:r>
        <w:rPr>
          <w:lang w:val="en-GB"/>
        </w:rPr>
        <w:t xml:space="preserve">8. </w:t>
      </w:r>
      <w:r>
        <w:rPr>
          <w:lang w:val="en-GB"/>
        </w:rPr>
        <w:tab/>
      </w:r>
      <w:r>
        <w:rPr>
          <w:lang w:val="en-GB"/>
        </w:rPr>
        <w:tab/>
      </w:r>
      <w:proofErr w:type="gramStart"/>
      <w:r>
        <w:rPr>
          <w:lang w:val="en-GB"/>
        </w:rPr>
        <w:t>a</w:t>
      </w:r>
      <w:proofErr w:type="gramEnd"/>
      <w:r>
        <w:rPr>
          <w:lang w:val="en-GB"/>
        </w:rPr>
        <w:t xml:space="preserve">. </w:t>
      </w:r>
      <w:r>
        <w:rPr>
          <w:lang w:val="en-GB"/>
        </w:rPr>
        <w:tab/>
        <w:t>A (higher fixed cost)</w:t>
      </w:r>
    </w:p>
    <w:p w:rsidR="00621155" w:rsidRDefault="00621155" w:rsidP="00621155">
      <w:pPr>
        <w:ind w:left="360" w:hanging="360"/>
        <w:rPr>
          <w:lang w:val="en-GB"/>
        </w:rPr>
      </w:pPr>
    </w:p>
    <w:p w:rsidR="00621155" w:rsidRDefault="00621155" w:rsidP="00621155">
      <w:pPr>
        <w:ind w:left="360" w:firstLine="360"/>
        <w:rPr>
          <w:lang w:val="en-GB"/>
        </w:rPr>
      </w:pPr>
      <w:r>
        <w:rPr>
          <w:lang w:val="en-GB"/>
        </w:rPr>
        <w:t xml:space="preserve">b. </w:t>
      </w:r>
      <w:r>
        <w:rPr>
          <w:lang w:val="en-GB"/>
        </w:rPr>
        <w:tab/>
        <w:t>C (more cyclical revenues).</w:t>
      </w:r>
    </w:p>
    <w:p w:rsidR="00621155" w:rsidRDefault="00621155" w:rsidP="00621155">
      <w:pPr>
        <w:ind w:left="360" w:hanging="360"/>
        <w:rPr>
          <w:lang w:val="en-GB"/>
        </w:rPr>
      </w:pPr>
    </w:p>
    <w:p w:rsidR="00621155" w:rsidRDefault="00621155" w:rsidP="00621155">
      <w:pPr>
        <w:ind w:left="360" w:hanging="360"/>
        <w:rPr>
          <w:lang w:val="en-GB"/>
        </w:rPr>
      </w:pPr>
    </w:p>
    <w:p w:rsidR="00621155" w:rsidRDefault="00621155" w:rsidP="00621155">
      <w:pPr>
        <w:ind w:left="360" w:hanging="360"/>
        <w:rPr>
          <w:lang w:val="en-GB"/>
        </w:rPr>
      </w:pPr>
      <w:r>
        <w:rPr>
          <w:lang w:val="en-GB"/>
        </w:rPr>
        <w:t xml:space="preserve">9. </w:t>
      </w:r>
      <w:r>
        <w:rPr>
          <w:lang w:val="en-GB"/>
        </w:rPr>
        <w:tab/>
      </w:r>
      <w:r>
        <w:rPr>
          <w:lang w:val="en-GB"/>
        </w:rPr>
        <w:tab/>
      </w:r>
      <w:proofErr w:type="gramStart"/>
      <w:r>
        <w:rPr>
          <w:lang w:val="en-GB"/>
        </w:rPr>
        <w:t>a</w:t>
      </w:r>
      <w:proofErr w:type="gramEnd"/>
      <w:r>
        <w:rPr>
          <w:lang w:val="en-GB"/>
        </w:rPr>
        <w:t xml:space="preserve">. </w:t>
      </w:r>
      <w:r>
        <w:rPr>
          <w:lang w:val="en-GB"/>
        </w:rPr>
        <w:tab/>
        <w:t>False</w:t>
      </w:r>
    </w:p>
    <w:p w:rsidR="00621155" w:rsidRDefault="00621155" w:rsidP="00621155">
      <w:pPr>
        <w:ind w:left="360" w:hanging="360"/>
        <w:rPr>
          <w:lang w:val="en-GB"/>
        </w:rPr>
      </w:pPr>
    </w:p>
    <w:p w:rsidR="00621155" w:rsidRDefault="00621155" w:rsidP="00621155">
      <w:pPr>
        <w:ind w:left="360" w:firstLine="360"/>
        <w:rPr>
          <w:lang w:val="en-GB"/>
        </w:rPr>
      </w:pPr>
      <w:r>
        <w:rPr>
          <w:lang w:val="en-GB"/>
        </w:rPr>
        <w:t xml:space="preserve">b. </w:t>
      </w:r>
      <w:r>
        <w:rPr>
          <w:lang w:val="en-GB"/>
        </w:rPr>
        <w:tab/>
        <w:t>False</w:t>
      </w:r>
    </w:p>
    <w:p w:rsidR="00621155" w:rsidRDefault="00621155" w:rsidP="00621155">
      <w:pPr>
        <w:ind w:left="360" w:firstLine="360"/>
        <w:rPr>
          <w:lang w:val="en-GB"/>
        </w:rPr>
      </w:pPr>
    </w:p>
    <w:p w:rsidR="00621155" w:rsidRDefault="00621155" w:rsidP="00621155">
      <w:pPr>
        <w:ind w:left="1440" w:hanging="720"/>
        <w:rPr>
          <w:lang w:val="en-GB"/>
        </w:rPr>
      </w:pPr>
      <w:r>
        <w:rPr>
          <w:lang w:val="en-GB"/>
        </w:rPr>
        <w:t>c.</w:t>
      </w:r>
      <w:r>
        <w:rPr>
          <w:lang w:val="en-GB"/>
        </w:rPr>
        <w:tab/>
        <w:t>True</w:t>
      </w:r>
    </w:p>
    <w:p w:rsidR="00621155" w:rsidRDefault="00621155" w:rsidP="00621155">
      <w:pPr>
        <w:ind w:left="360" w:hanging="360"/>
        <w:rPr>
          <w:iCs/>
          <w:lang w:val="en-GB"/>
        </w:rPr>
      </w:pPr>
    </w:p>
    <w:p w:rsidR="00621155" w:rsidRPr="007D3DC1" w:rsidRDefault="00621155" w:rsidP="00621155">
      <w:pPr>
        <w:ind w:left="360" w:hanging="360"/>
        <w:rPr>
          <w:iCs/>
          <w:lang w:val="en-GB"/>
        </w:rPr>
      </w:pPr>
    </w:p>
    <w:p w:rsidR="00621155" w:rsidRDefault="00621155" w:rsidP="00621155">
      <w:pPr>
        <w:ind w:left="360" w:hanging="360"/>
        <w:rPr>
          <w:iCs/>
        </w:rPr>
      </w:pPr>
      <w:r w:rsidRPr="007D3DC1">
        <w:rPr>
          <w:iCs/>
        </w:rPr>
        <w:t xml:space="preserve">10. </w:t>
      </w:r>
      <w:r>
        <w:rPr>
          <w:iCs/>
        </w:rPr>
        <w:tab/>
      </w:r>
      <w:proofErr w:type="gramStart"/>
      <w:r>
        <w:rPr>
          <w:iCs/>
        </w:rPr>
        <w:t>a</w:t>
      </w:r>
      <w:proofErr w:type="gramEnd"/>
      <w:r>
        <w:rPr>
          <w:iCs/>
        </w:rPr>
        <w:t xml:space="preserve">.  </w:t>
      </w:r>
      <w:r>
        <w:rPr>
          <w:iCs/>
        </w:rPr>
        <w:tab/>
        <w:t>PV =</w:t>
      </w:r>
      <w:r w:rsidRPr="00E84D58">
        <w:rPr>
          <w:iCs/>
          <w:position w:val="-34"/>
        </w:rPr>
        <w:object w:dxaOrig="409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75pt;height:36pt" o:ole="">
            <v:imagedata r:id="rId5" o:title=""/>
          </v:shape>
          <o:OLEObject Type="Embed" ProgID="Equation.3" ShapeID="_x0000_i1025" DrawAspect="Content" ObjectID="_1355990441" r:id="rId6"/>
        </w:object>
      </w:r>
    </w:p>
    <w:p w:rsidR="00621155" w:rsidRDefault="00621155" w:rsidP="00621155">
      <w:pPr>
        <w:ind w:left="360" w:hanging="360"/>
        <w:rPr>
          <w:iCs/>
        </w:rPr>
      </w:pPr>
      <w:r>
        <w:rPr>
          <w:iCs/>
        </w:rPr>
        <w:tab/>
      </w:r>
      <w:r>
        <w:rPr>
          <w:iCs/>
        </w:rPr>
        <w:tab/>
      </w:r>
      <w:r>
        <w:rPr>
          <w:iCs/>
        </w:rPr>
        <w:tab/>
      </w:r>
    </w:p>
    <w:p w:rsidR="00621155" w:rsidRDefault="00621155" w:rsidP="00621155">
      <w:pPr>
        <w:ind w:left="1800"/>
        <w:rPr>
          <w:iCs/>
        </w:rPr>
      </w:pPr>
      <w:r>
        <w:rPr>
          <w:iCs/>
        </w:rPr>
        <w:t xml:space="preserve">= </w:t>
      </w:r>
      <w:r w:rsidRPr="00E84D58">
        <w:rPr>
          <w:iCs/>
          <w:position w:val="-24"/>
        </w:rPr>
        <w:object w:dxaOrig="2020" w:dyaOrig="620">
          <v:shape id="_x0000_i1026" type="#_x0000_t75" style="width:101.25pt;height:30.75pt" o:ole="">
            <v:imagedata r:id="rId7" o:title=""/>
          </v:shape>
          <o:OLEObject Type="Embed" ProgID="Equation.3" ShapeID="_x0000_i1026" DrawAspect="Content" ObjectID="_1355990442" r:id="rId8"/>
        </w:object>
      </w:r>
    </w:p>
    <w:p w:rsidR="00621155" w:rsidRPr="007D3DC1" w:rsidRDefault="00621155" w:rsidP="00621155">
      <w:pPr>
        <w:rPr>
          <w:iCs/>
        </w:rPr>
      </w:pPr>
    </w:p>
    <w:p w:rsidR="00621155" w:rsidRPr="007D3DC1" w:rsidRDefault="00621155" w:rsidP="00621155">
      <w:pPr>
        <w:autoSpaceDE w:val="0"/>
        <w:autoSpaceDN w:val="0"/>
        <w:adjustRightInd w:val="0"/>
        <w:ind w:left="1440" w:hanging="720"/>
      </w:pPr>
      <w:r w:rsidRPr="00995CA3">
        <w:rPr>
          <w:bCs/>
        </w:rPr>
        <w:t>b.</w:t>
      </w:r>
      <w:r w:rsidRPr="007D3DC1">
        <w:rPr>
          <w:b/>
          <w:bCs/>
        </w:rPr>
        <w:t xml:space="preserve"> </w:t>
      </w:r>
      <w:r>
        <w:rPr>
          <w:b/>
          <w:bCs/>
        </w:rPr>
        <w:tab/>
      </w:r>
      <w:r>
        <w:t>CEQ</w:t>
      </w:r>
      <w:r w:rsidRPr="00995CA3">
        <w:rPr>
          <w:vertAlign w:val="subscript"/>
        </w:rPr>
        <w:t>1</w:t>
      </w:r>
      <w:r w:rsidRPr="007D3DC1">
        <w:t xml:space="preserve">/1.05 </w:t>
      </w:r>
      <w:r>
        <w:t>=</w:t>
      </w:r>
      <w:r w:rsidRPr="007D3DC1">
        <w:t xml:space="preserve"> </w:t>
      </w:r>
      <w:r>
        <w:t>110/1.10, CEQ</w:t>
      </w:r>
      <w:r w:rsidRPr="00995CA3">
        <w:rPr>
          <w:vertAlign w:val="subscript"/>
        </w:rPr>
        <w:t>1</w:t>
      </w:r>
      <w:r w:rsidRPr="007D3DC1">
        <w:t xml:space="preserve"> </w:t>
      </w:r>
      <w:r>
        <w:t>=</w:t>
      </w:r>
      <w:r w:rsidRPr="007D3DC1">
        <w:t xml:space="preserve"> </w:t>
      </w:r>
      <w:r>
        <w:t>$105; CEQ</w:t>
      </w:r>
      <w:r w:rsidRPr="007D3DC1">
        <w:rPr>
          <w:vertAlign w:val="subscript"/>
        </w:rPr>
        <w:t>2</w:t>
      </w:r>
      <w:r w:rsidRPr="007D3DC1">
        <w:t xml:space="preserve"> </w:t>
      </w:r>
      <w:r>
        <w:t>/1.05</w:t>
      </w:r>
      <w:r w:rsidRPr="00995CA3">
        <w:rPr>
          <w:vertAlign w:val="superscript"/>
        </w:rPr>
        <w:t>2</w:t>
      </w:r>
      <w:r w:rsidRPr="007D3DC1">
        <w:t xml:space="preserve"> </w:t>
      </w:r>
      <w:r>
        <w:t>=</w:t>
      </w:r>
      <w:r w:rsidRPr="007D3DC1">
        <w:t xml:space="preserve"> </w:t>
      </w:r>
      <w:r>
        <w:t>121/1.10</w:t>
      </w:r>
      <w:r w:rsidRPr="00995CA3">
        <w:rPr>
          <w:vertAlign w:val="superscript"/>
        </w:rPr>
        <w:t>2</w:t>
      </w:r>
      <w:r>
        <w:t>, CEQ</w:t>
      </w:r>
      <w:r w:rsidRPr="00995CA3">
        <w:rPr>
          <w:vertAlign w:val="subscript"/>
        </w:rPr>
        <w:t>2</w:t>
      </w:r>
      <w:r w:rsidRPr="007D3DC1">
        <w:t xml:space="preserve"> </w:t>
      </w:r>
      <w:r>
        <w:t>=</w:t>
      </w:r>
      <w:r w:rsidRPr="007D3DC1">
        <w:t xml:space="preserve"> $110.25.</w:t>
      </w:r>
    </w:p>
    <w:p w:rsidR="00621155" w:rsidRDefault="00621155" w:rsidP="00621155">
      <w:pPr>
        <w:autoSpaceDE w:val="0"/>
        <w:autoSpaceDN w:val="0"/>
        <w:adjustRightInd w:val="0"/>
        <w:ind w:left="360"/>
        <w:rPr>
          <w:bCs/>
        </w:rPr>
      </w:pPr>
    </w:p>
    <w:p w:rsidR="00621155" w:rsidRPr="00995CA3" w:rsidRDefault="00621155" w:rsidP="00621155">
      <w:pPr>
        <w:autoSpaceDE w:val="0"/>
        <w:autoSpaceDN w:val="0"/>
        <w:adjustRightInd w:val="0"/>
        <w:ind w:left="360" w:firstLine="360"/>
      </w:pPr>
      <w:r w:rsidRPr="00995CA3">
        <w:rPr>
          <w:bCs/>
        </w:rPr>
        <w:t>c.</w:t>
      </w:r>
      <w:r w:rsidRPr="007D3DC1">
        <w:rPr>
          <w:b/>
          <w:bCs/>
        </w:rPr>
        <w:t xml:space="preserve"> </w:t>
      </w:r>
      <w:r>
        <w:rPr>
          <w:b/>
          <w:bCs/>
        </w:rPr>
        <w:tab/>
      </w:r>
      <w:r>
        <w:t>Ratio</w:t>
      </w:r>
      <w:r w:rsidRPr="004C3DEE">
        <w:rPr>
          <w:vertAlign w:val="subscript"/>
        </w:rPr>
        <w:t>1</w:t>
      </w:r>
      <w:r w:rsidRPr="007D3DC1">
        <w:t xml:space="preserve"> </w:t>
      </w:r>
      <w:r>
        <w:t>=</w:t>
      </w:r>
      <w:r w:rsidRPr="007D3DC1">
        <w:t xml:space="preserve"> 105/110 </w:t>
      </w:r>
      <w:r>
        <w:t xml:space="preserve">= </w:t>
      </w:r>
      <w:r w:rsidRPr="007D3DC1">
        <w:t xml:space="preserve">.95; </w:t>
      </w:r>
      <w:r>
        <w:t>Ratio</w:t>
      </w:r>
      <w:r w:rsidRPr="004C3DEE">
        <w:rPr>
          <w:vertAlign w:val="subscript"/>
        </w:rPr>
        <w:t>2</w:t>
      </w:r>
      <w:r w:rsidRPr="007D3DC1">
        <w:t xml:space="preserve"> </w:t>
      </w:r>
      <w:r>
        <w:t>=</w:t>
      </w:r>
      <w:r w:rsidRPr="007D3DC1">
        <w:t xml:space="preserve"> </w:t>
      </w:r>
      <w:r>
        <w:t>110.25/</w:t>
      </w:r>
      <w:r w:rsidRPr="007D3DC1">
        <w:t xml:space="preserve">121 </w:t>
      </w:r>
      <w:r>
        <w:t>=</w:t>
      </w:r>
      <w:r w:rsidRPr="007D3DC1">
        <w:t xml:space="preserve"> .91.</w:t>
      </w:r>
    </w:p>
    <w:p w:rsidR="00621155" w:rsidRDefault="00621155" w:rsidP="00621155"/>
    <w:p w:rsidR="00621155" w:rsidRDefault="00621155" w:rsidP="00621155"/>
    <w:p w:rsidR="00621155" w:rsidRDefault="00621155" w:rsidP="00621155">
      <w:pPr>
        <w:pStyle w:val="BodyTextIndent3"/>
        <w:tabs>
          <w:tab w:val="clear" w:pos="1440"/>
          <w:tab w:val="left" w:pos="720"/>
        </w:tabs>
      </w:pPr>
      <w:r>
        <w:t>11.</w:t>
      </w:r>
      <w:r>
        <w:tab/>
        <w:t>a.</w:t>
      </w:r>
      <w:r>
        <w:tab/>
      </w:r>
      <w:proofErr w:type="spellStart"/>
      <w:r>
        <w:t>r</w:t>
      </w:r>
      <w:r>
        <w:rPr>
          <w:vertAlign w:val="subscript"/>
        </w:rPr>
        <w:t>equity</w:t>
      </w:r>
      <w:proofErr w:type="spellEnd"/>
      <w:r>
        <w:t xml:space="preserve"> = </w:t>
      </w:r>
      <w:proofErr w:type="spellStart"/>
      <w:proofErr w:type="gramStart"/>
      <w:r>
        <w:t>r</w:t>
      </w:r>
      <w:r>
        <w:rPr>
          <w:vertAlign w:val="subscript"/>
        </w:rPr>
        <w:t>f</w:t>
      </w:r>
      <w:proofErr w:type="spellEnd"/>
      <w:proofErr w:type="gramEnd"/>
      <w:r>
        <w:t xml:space="preserve"> + </w:t>
      </w:r>
      <w:r>
        <w:sym w:font="Symbol" w:char="F062"/>
      </w:r>
      <w:r>
        <w:t xml:space="preserve"> </w:t>
      </w:r>
      <w:r>
        <w:sym w:font="Symbol" w:char="F0B4"/>
      </w:r>
      <w:r>
        <w:t xml:space="preserve"> (</w:t>
      </w:r>
      <w:proofErr w:type="spellStart"/>
      <w:r>
        <w:t>r</w:t>
      </w:r>
      <w:r>
        <w:rPr>
          <w:vertAlign w:val="subscript"/>
        </w:rPr>
        <w:t>m</w:t>
      </w:r>
      <w:proofErr w:type="spellEnd"/>
      <w:r>
        <w:t xml:space="preserve"> </w:t>
      </w:r>
      <w:r>
        <w:rPr>
          <w:rFonts w:cs="Arial"/>
        </w:rPr>
        <w:t>–</w:t>
      </w:r>
      <w:r>
        <w:t xml:space="preserve"> </w:t>
      </w:r>
      <w:proofErr w:type="spellStart"/>
      <w:r>
        <w:t>r</w:t>
      </w:r>
      <w:r>
        <w:rPr>
          <w:vertAlign w:val="subscript"/>
        </w:rPr>
        <w:t>f</w:t>
      </w:r>
      <w:proofErr w:type="spellEnd"/>
      <w:r>
        <w:t xml:space="preserve">) = 0.04 + (1.5 </w:t>
      </w:r>
      <w:r>
        <w:sym w:font="Symbol" w:char="F0B4"/>
      </w:r>
      <w:r>
        <w:t xml:space="preserve"> 0.06) = 0.13 = 13%</w:t>
      </w:r>
    </w:p>
    <w:p w:rsidR="00621155" w:rsidRDefault="00621155" w:rsidP="00621155">
      <w:pPr>
        <w:pStyle w:val="BodyTextIndent3"/>
        <w:tabs>
          <w:tab w:val="clear" w:pos="720"/>
          <w:tab w:val="clear" w:pos="1440"/>
        </w:tabs>
        <w:ind w:left="0" w:firstLine="0"/>
      </w:pPr>
    </w:p>
    <w:p w:rsidR="00621155" w:rsidRDefault="00621155" w:rsidP="00621155">
      <w:pPr>
        <w:pStyle w:val="BodyTextIndent3"/>
        <w:tabs>
          <w:tab w:val="clear" w:pos="720"/>
          <w:tab w:val="clear" w:pos="1440"/>
        </w:tabs>
        <w:spacing w:line="360" w:lineRule="auto"/>
        <w:ind w:left="1354" w:hanging="634"/>
      </w:pPr>
      <w:proofErr w:type="gramStart"/>
      <w:r>
        <w:t>b</w:t>
      </w:r>
      <w:proofErr w:type="gramEnd"/>
      <w:r>
        <w:t>.</w:t>
      </w:r>
      <w:r>
        <w:rPr>
          <w:noProof/>
        </w:rPr>
        <w:tab/>
      </w:r>
      <w:r w:rsidRPr="007B6F5F">
        <w:rPr>
          <w:noProof/>
          <w:position w:val="-28"/>
        </w:rPr>
        <w:object w:dxaOrig="6960" w:dyaOrig="680">
          <v:shape id="_x0000_i1027" type="#_x0000_t75" style="width:348pt;height:33.75pt" o:ole="" fillcolor="window">
            <v:imagedata r:id="rId9" o:title=""/>
          </v:shape>
          <o:OLEObject Type="Embed" ProgID="Equation.3" ShapeID="_x0000_i1027" DrawAspect="Content" ObjectID="_1355990443" r:id="rId10"/>
        </w:object>
      </w:r>
    </w:p>
    <w:p w:rsidR="00621155" w:rsidRDefault="00621155" w:rsidP="00621155">
      <w:pPr>
        <w:pStyle w:val="BodyTextIndent3"/>
        <w:tabs>
          <w:tab w:val="clear" w:pos="720"/>
          <w:tab w:val="clear" w:pos="1440"/>
        </w:tabs>
        <w:ind w:firstLine="0"/>
      </w:pPr>
      <w:proofErr w:type="spellStart"/>
      <w:proofErr w:type="gramStart"/>
      <w:r>
        <w:t>r</w:t>
      </w:r>
      <w:r>
        <w:rPr>
          <w:vertAlign w:val="subscript"/>
        </w:rPr>
        <w:t>assets</w:t>
      </w:r>
      <w:proofErr w:type="spellEnd"/>
      <w:proofErr w:type="gramEnd"/>
      <w:r>
        <w:t xml:space="preserve"> = 0.094 = 9.4%</w:t>
      </w:r>
    </w:p>
    <w:p w:rsidR="00621155" w:rsidRDefault="00621155" w:rsidP="00621155">
      <w:pPr>
        <w:pStyle w:val="BodyTextIndent3"/>
        <w:tabs>
          <w:tab w:val="clear" w:pos="720"/>
          <w:tab w:val="clear" w:pos="1440"/>
        </w:tabs>
        <w:ind w:left="0" w:firstLine="0"/>
      </w:pPr>
      <w:r>
        <w:br w:type="page"/>
      </w:r>
    </w:p>
    <w:p w:rsidR="00621155" w:rsidRDefault="00621155" w:rsidP="00621155">
      <w:pPr>
        <w:pStyle w:val="BodyTextIndent3"/>
        <w:tabs>
          <w:tab w:val="clear" w:pos="720"/>
          <w:tab w:val="clear" w:pos="1440"/>
        </w:tabs>
        <w:ind w:right="360" w:hanging="720"/>
      </w:pPr>
      <w:r>
        <w:lastRenderedPageBreak/>
        <w:t>c.</w:t>
      </w:r>
      <w:r>
        <w:tab/>
        <w:t>The cost of capital depends on the risk of the project being evaluated.  If the risk of the project is similar to the risk of the other assets of the company, then the appropriate rate of return is the company cost of capital.  Here, the appropriate discount rate is 9.4%.</w:t>
      </w:r>
    </w:p>
    <w:p w:rsidR="00621155" w:rsidRDefault="00621155" w:rsidP="00621155">
      <w:pPr>
        <w:pStyle w:val="BodyTextIndent3"/>
        <w:tabs>
          <w:tab w:val="clear" w:pos="720"/>
          <w:tab w:val="clear" w:pos="1440"/>
        </w:tabs>
        <w:ind w:left="0" w:firstLine="0"/>
      </w:pPr>
    </w:p>
    <w:p w:rsidR="00621155" w:rsidRDefault="00621155" w:rsidP="00621155">
      <w:pPr>
        <w:pStyle w:val="BodyTextIndent3"/>
        <w:tabs>
          <w:tab w:val="clear" w:pos="720"/>
          <w:tab w:val="clear" w:pos="1440"/>
        </w:tabs>
        <w:spacing w:line="360" w:lineRule="auto"/>
        <w:ind w:hanging="720"/>
      </w:pPr>
      <w:proofErr w:type="gramStart"/>
      <w:r>
        <w:t>d</w:t>
      </w:r>
      <w:proofErr w:type="gramEnd"/>
      <w:r>
        <w:t>.</w:t>
      </w:r>
      <w:r>
        <w:tab/>
      </w:r>
      <w:proofErr w:type="spellStart"/>
      <w:r>
        <w:t>r</w:t>
      </w:r>
      <w:r>
        <w:rPr>
          <w:vertAlign w:val="subscript"/>
        </w:rPr>
        <w:t>equity</w:t>
      </w:r>
      <w:proofErr w:type="spellEnd"/>
      <w:r>
        <w:t xml:space="preserve"> = </w:t>
      </w:r>
      <w:proofErr w:type="spellStart"/>
      <w:r>
        <w:t>r</w:t>
      </w:r>
      <w:r>
        <w:rPr>
          <w:vertAlign w:val="subscript"/>
        </w:rPr>
        <w:t>f</w:t>
      </w:r>
      <w:proofErr w:type="spellEnd"/>
      <w:r>
        <w:t xml:space="preserve"> + </w:t>
      </w:r>
      <w:r>
        <w:sym w:font="Symbol" w:char="F062"/>
      </w:r>
      <w:r>
        <w:t xml:space="preserve"> </w:t>
      </w:r>
      <w:r>
        <w:sym w:font="Symbol" w:char="F0B4"/>
      </w:r>
      <w:r>
        <w:t xml:space="preserve"> (</w:t>
      </w:r>
      <w:proofErr w:type="spellStart"/>
      <w:r>
        <w:t>r</w:t>
      </w:r>
      <w:r>
        <w:rPr>
          <w:vertAlign w:val="subscript"/>
        </w:rPr>
        <w:t>m</w:t>
      </w:r>
      <w:proofErr w:type="spellEnd"/>
      <w:r>
        <w:t xml:space="preserve"> </w:t>
      </w:r>
      <w:r>
        <w:rPr>
          <w:rFonts w:cs="Arial"/>
        </w:rPr>
        <w:t>–</w:t>
      </w:r>
      <w:r>
        <w:t xml:space="preserve"> </w:t>
      </w:r>
      <w:proofErr w:type="spellStart"/>
      <w:r>
        <w:t>r</w:t>
      </w:r>
      <w:r>
        <w:rPr>
          <w:vertAlign w:val="subscript"/>
        </w:rPr>
        <w:t>f</w:t>
      </w:r>
      <w:proofErr w:type="spellEnd"/>
      <w:r>
        <w:t xml:space="preserve">) = 0.04 + (1.2 </w:t>
      </w:r>
      <w:r>
        <w:sym w:font="Symbol" w:char="F0B4"/>
      </w:r>
      <w:r>
        <w:t xml:space="preserve"> 0.06) = 0.112 = 11.2%</w:t>
      </w:r>
    </w:p>
    <w:p w:rsidR="00621155" w:rsidRDefault="00621155" w:rsidP="00621155">
      <w:pPr>
        <w:pStyle w:val="BodyTextIndent3"/>
        <w:tabs>
          <w:tab w:val="clear" w:pos="720"/>
          <w:tab w:val="clear" w:pos="1440"/>
        </w:tabs>
        <w:spacing w:line="360" w:lineRule="auto"/>
        <w:ind w:left="1350" w:firstLine="0"/>
      </w:pPr>
      <w:r w:rsidRPr="007B6F5F">
        <w:rPr>
          <w:noProof/>
          <w:position w:val="-28"/>
        </w:rPr>
        <w:object w:dxaOrig="7100" w:dyaOrig="680">
          <v:shape id="_x0000_i1028" type="#_x0000_t75" style="width:354.75pt;height:33.75pt" o:ole="" fillcolor="window">
            <v:imagedata r:id="rId11" o:title=""/>
          </v:shape>
          <o:OLEObject Type="Embed" ProgID="Equation.3" ShapeID="_x0000_i1028" DrawAspect="Content" ObjectID="_1355990444" r:id="rId12"/>
        </w:object>
      </w:r>
    </w:p>
    <w:p w:rsidR="00621155" w:rsidRDefault="00621155" w:rsidP="00621155">
      <w:pPr>
        <w:pStyle w:val="BodyTextIndent3"/>
        <w:tabs>
          <w:tab w:val="clear" w:pos="720"/>
          <w:tab w:val="clear" w:pos="1440"/>
        </w:tabs>
        <w:ind w:firstLine="0"/>
      </w:pPr>
      <w:proofErr w:type="spellStart"/>
      <w:proofErr w:type="gramStart"/>
      <w:r>
        <w:t>r</w:t>
      </w:r>
      <w:r>
        <w:rPr>
          <w:vertAlign w:val="subscript"/>
        </w:rPr>
        <w:t>assets</w:t>
      </w:r>
      <w:proofErr w:type="spellEnd"/>
      <w:proofErr w:type="gramEnd"/>
      <w:r>
        <w:t xml:space="preserve"> = 0.0832 = 8.32%</w:t>
      </w:r>
    </w:p>
    <w:p w:rsidR="00621155" w:rsidRDefault="00621155" w:rsidP="00621155">
      <w:pPr>
        <w:pStyle w:val="BodyTextIndent3"/>
        <w:tabs>
          <w:tab w:val="clear" w:pos="720"/>
          <w:tab w:val="clear" w:pos="1440"/>
        </w:tabs>
        <w:ind w:left="0" w:firstLine="0"/>
      </w:pPr>
    </w:p>
    <w:p w:rsidR="00621155" w:rsidRDefault="00621155" w:rsidP="00621155">
      <w:pPr>
        <w:pStyle w:val="BodyTextIndent3"/>
        <w:tabs>
          <w:tab w:val="clear" w:pos="720"/>
          <w:tab w:val="clear" w:pos="1440"/>
        </w:tabs>
        <w:ind w:left="0" w:firstLine="0"/>
      </w:pPr>
    </w:p>
    <w:p w:rsidR="00621155" w:rsidRDefault="00621155" w:rsidP="00621155">
      <w:pPr>
        <w:pStyle w:val="BodyTextIndent3"/>
        <w:tabs>
          <w:tab w:val="clear" w:pos="720"/>
          <w:tab w:val="clear" w:pos="1440"/>
        </w:tabs>
        <w:ind w:left="720" w:hanging="720"/>
      </w:pPr>
      <w:r>
        <w:t>12.</w:t>
      </w:r>
      <w:r>
        <w:tab/>
      </w:r>
      <w:proofErr w:type="gramStart"/>
      <w:r>
        <w:t>a</w:t>
      </w:r>
      <w:proofErr w:type="gramEnd"/>
      <w:r>
        <w:t>.</w:t>
      </w:r>
    </w:p>
    <w:p w:rsidR="00621155" w:rsidRDefault="00621155" w:rsidP="00621155">
      <w:pPr>
        <w:pStyle w:val="BodyTextIndent3"/>
        <w:tabs>
          <w:tab w:val="clear" w:pos="720"/>
          <w:tab w:val="clear" w:pos="1440"/>
        </w:tabs>
        <w:ind w:left="1354" w:firstLine="0"/>
        <w:rPr>
          <w:noProof/>
        </w:rPr>
      </w:pPr>
      <w:r w:rsidRPr="00390DAC">
        <w:rPr>
          <w:noProof/>
          <w:position w:val="-64"/>
        </w:rPr>
        <w:object w:dxaOrig="7440" w:dyaOrig="1400">
          <v:shape id="_x0000_i1029" type="#_x0000_t75" style="width:372pt;height:69.75pt" o:ole="" fillcolor="window">
            <v:imagedata r:id="rId13" o:title=""/>
          </v:shape>
          <o:OLEObject Type="Embed" ProgID="Equation.3" ShapeID="_x0000_i1029" DrawAspect="Content" ObjectID="_1355990445" r:id="rId14"/>
        </w:object>
      </w:r>
    </w:p>
    <w:p w:rsidR="00621155" w:rsidRDefault="00621155" w:rsidP="00621155">
      <w:pPr>
        <w:pStyle w:val="BodyTextIndent3"/>
        <w:tabs>
          <w:tab w:val="clear" w:pos="720"/>
          <w:tab w:val="clear" w:pos="1440"/>
        </w:tabs>
        <w:ind w:left="0" w:firstLine="0"/>
        <w:rPr>
          <w:noProof/>
        </w:rPr>
      </w:pPr>
    </w:p>
    <w:p w:rsidR="00621155" w:rsidRDefault="00621155" w:rsidP="00621155">
      <w:pPr>
        <w:pStyle w:val="BodyTextIndent3"/>
        <w:tabs>
          <w:tab w:val="clear" w:pos="720"/>
          <w:tab w:val="clear" w:pos="1440"/>
        </w:tabs>
        <w:ind w:hanging="720"/>
      </w:pPr>
      <w:proofErr w:type="gramStart"/>
      <w:r>
        <w:t>b</w:t>
      </w:r>
      <w:proofErr w:type="gramEnd"/>
      <w:r>
        <w:t>.</w:t>
      </w:r>
      <w:r>
        <w:tab/>
        <w:t xml:space="preserve">r = </w:t>
      </w:r>
      <w:proofErr w:type="spellStart"/>
      <w:r>
        <w:t>r</w:t>
      </w:r>
      <w:r>
        <w:rPr>
          <w:vertAlign w:val="subscript"/>
        </w:rPr>
        <w:t>f</w:t>
      </w:r>
      <w:proofErr w:type="spellEnd"/>
      <w:r>
        <w:t xml:space="preserve"> + </w:t>
      </w:r>
      <w:r>
        <w:sym w:font="Symbol" w:char="F062"/>
      </w:r>
      <w:r>
        <w:t xml:space="preserve"> </w:t>
      </w:r>
      <w:r>
        <w:sym w:font="Symbol" w:char="F0B4"/>
      </w:r>
      <w:r>
        <w:t xml:space="preserve"> (</w:t>
      </w:r>
      <w:proofErr w:type="spellStart"/>
      <w:r>
        <w:t>r</w:t>
      </w:r>
      <w:r>
        <w:rPr>
          <w:vertAlign w:val="subscript"/>
        </w:rPr>
        <w:t>m</w:t>
      </w:r>
      <w:proofErr w:type="spellEnd"/>
      <w:r>
        <w:t xml:space="preserve"> </w:t>
      </w:r>
      <w:r>
        <w:rPr>
          <w:rFonts w:cs="Arial"/>
        </w:rPr>
        <w:t>–</w:t>
      </w:r>
      <w:r>
        <w:t xml:space="preserve"> </w:t>
      </w:r>
      <w:proofErr w:type="spellStart"/>
      <w:r>
        <w:t>r</w:t>
      </w:r>
      <w:r>
        <w:rPr>
          <w:vertAlign w:val="subscript"/>
        </w:rPr>
        <w:t>f</w:t>
      </w:r>
      <w:proofErr w:type="spellEnd"/>
      <w:r>
        <w:t>) = 0.05 + (0.836</w:t>
      </w:r>
      <w:r>
        <w:sym w:font="Symbol" w:char="F0B4"/>
      </w:r>
      <w:r>
        <w:t xml:space="preserve"> 0.06) = 0.10016 = 10.016%</w:t>
      </w:r>
    </w:p>
    <w:p w:rsidR="00621155" w:rsidRDefault="00621155" w:rsidP="00621155">
      <w:pPr>
        <w:pStyle w:val="BodyTextIndent3"/>
        <w:tabs>
          <w:tab w:val="clear" w:pos="720"/>
          <w:tab w:val="clear" w:pos="1440"/>
        </w:tabs>
        <w:spacing w:line="360" w:lineRule="auto"/>
        <w:ind w:left="0" w:firstLine="0"/>
      </w:pPr>
    </w:p>
    <w:p w:rsidR="00621155" w:rsidRDefault="00621155" w:rsidP="00621155">
      <w:pPr>
        <w:pStyle w:val="BodyTextIndent3"/>
        <w:tabs>
          <w:tab w:val="clear" w:pos="720"/>
          <w:tab w:val="clear" w:pos="1440"/>
        </w:tabs>
        <w:spacing w:line="360" w:lineRule="auto"/>
        <w:ind w:left="0" w:firstLine="0"/>
      </w:pPr>
    </w:p>
    <w:p w:rsidR="00621155" w:rsidRDefault="00621155" w:rsidP="00621155">
      <w:pPr>
        <w:pStyle w:val="BodyTextIndent3"/>
        <w:tabs>
          <w:tab w:val="clear" w:pos="1440"/>
          <w:tab w:val="left" w:pos="720"/>
        </w:tabs>
        <w:spacing w:after="120"/>
        <w:ind w:right="360"/>
      </w:pPr>
      <w:r>
        <w:t>13.</w:t>
      </w:r>
      <w:r>
        <w:tab/>
      </w:r>
      <w:proofErr w:type="gramStart"/>
      <w:r>
        <w:t>a</w:t>
      </w:r>
      <w:proofErr w:type="gramEnd"/>
      <w:r>
        <w:t xml:space="preserve">. </w:t>
      </w:r>
      <w:r>
        <w:tab/>
        <w:t>The R</w:t>
      </w:r>
      <w:r>
        <w:rPr>
          <w:vertAlign w:val="superscript"/>
        </w:rPr>
        <w:t>2</w:t>
      </w:r>
      <w:r>
        <w:t xml:space="preserve"> value for Toronto Dominion was 0.25, which means that 25% of total risk comes from movements in the market (i.e., market risk).  Therefore, 75% of total risk is unique risk.</w:t>
      </w:r>
    </w:p>
    <w:p w:rsidR="00621155" w:rsidRDefault="00621155" w:rsidP="00621155">
      <w:pPr>
        <w:pStyle w:val="BodyTextIndent3"/>
        <w:tabs>
          <w:tab w:val="clear" w:pos="720"/>
          <w:tab w:val="clear" w:pos="1440"/>
        </w:tabs>
        <w:ind w:right="360" w:firstLine="0"/>
      </w:pPr>
      <w:r>
        <w:t>The R</w:t>
      </w:r>
      <w:r>
        <w:rPr>
          <w:vertAlign w:val="superscript"/>
        </w:rPr>
        <w:t>2</w:t>
      </w:r>
      <w:r>
        <w:t xml:space="preserve"> value for Canadian Pacific was 0.30, which means that 30% of total risk comes from movements in the market (i.e., market risk).  Therefore, 70% of total risk is unique risk.</w:t>
      </w:r>
    </w:p>
    <w:p w:rsidR="00621155" w:rsidRDefault="00621155" w:rsidP="00621155">
      <w:pPr>
        <w:pStyle w:val="BodyTextIndent3"/>
        <w:tabs>
          <w:tab w:val="clear" w:pos="720"/>
          <w:tab w:val="clear" w:pos="1440"/>
        </w:tabs>
        <w:ind w:left="0" w:firstLine="0"/>
      </w:pPr>
    </w:p>
    <w:p w:rsidR="00621155" w:rsidRDefault="00621155" w:rsidP="00621155">
      <w:pPr>
        <w:pStyle w:val="BodyTextIndent3"/>
        <w:numPr>
          <w:ilvl w:val="0"/>
          <w:numId w:val="2"/>
        </w:numPr>
        <w:tabs>
          <w:tab w:val="clear" w:pos="720"/>
          <w:tab w:val="clear" w:pos="1440"/>
          <w:tab w:val="clear" w:pos="2160"/>
        </w:tabs>
        <w:spacing w:after="80"/>
        <w:ind w:left="1440"/>
      </w:pPr>
      <w:r>
        <w:t>The variance of Toronto Dominion is: (25)</w:t>
      </w:r>
      <w:r>
        <w:rPr>
          <w:vertAlign w:val="superscript"/>
        </w:rPr>
        <w:t>2</w:t>
      </w:r>
      <w:r>
        <w:t xml:space="preserve"> = 625</w:t>
      </w:r>
    </w:p>
    <w:p w:rsidR="00621155" w:rsidRDefault="00621155" w:rsidP="00621155">
      <w:pPr>
        <w:pStyle w:val="BodyTextIndent3"/>
        <w:tabs>
          <w:tab w:val="clear" w:pos="720"/>
          <w:tab w:val="clear" w:pos="1440"/>
        </w:tabs>
        <w:spacing w:after="80"/>
        <w:ind w:firstLine="0"/>
      </w:pPr>
      <w:r>
        <w:t xml:space="preserve">Market risk for Toronto Dominion: 0.25 </w:t>
      </w:r>
      <w:r>
        <w:rPr>
          <w:rFonts w:cs="Arial"/>
        </w:rPr>
        <w:t>×</w:t>
      </w:r>
      <w:r>
        <w:t xml:space="preserve"> 625 = 156.25</w:t>
      </w:r>
    </w:p>
    <w:p w:rsidR="00621155" w:rsidRDefault="00621155" w:rsidP="00621155">
      <w:pPr>
        <w:pStyle w:val="BodyTextIndent3"/>
        <w:tabs>
          <w:tab w:val="clear" w:pos="720"/>
          <w:tab w:val="clear" w:pos="1440"/>
        </w:tabs>
        <w:ind w:firstLine="0"/>
      </w:pPr>
      <w:r>
        <w:t xml:space="preserve">Unique risk for Alcan: 0.75 </w:t>
      </w:r>
      <w:r>
        <w:rPr>
          <w:rFonts w:cs="Arial"/>
        </w:rPr>
        <w:t>×</w:t>
      </w:r>
      <w:r>
        <w:t xml:space="preserve"> 625 = 468.75</w:t>
      </w:r>
    </w:p>
    <w:p w:rsidR="00621155" w:rsidRDefault="00621155" w:rsidP="00621155">
      <w:pPr>
        <w:pStyle w:val="BodyTextIndent3"/>
        <w:tabs>
          <w:tab w:val="clear" w:pos="720"/>
          <w:tab w:val="clear" w:pos="1440"/>
        </w:tabs>
        <w:ind w:left="0" w:firstLine="0"/>
      </w:pPr>
    </w:p>
    <w:p w:rsidR="00621155" w:rsidRDefault="00621155" w:rsidP="00621155">
      <w:pPr>
        <w:pStyle w:val="BodyTextIndent3"/>
        <w:numPr>
          <w:ilvl w:val="0"/>
          <w:numId w:val="2"/>
        </w:numPr>
        <w:tabs>
          <w:tab w:val="clear" w:pos="720"/>
          <w:tab w:val="clear" w:pos="1440"/>
          <w:tab w:val="clear" w:pos="2160"/>
        </w:tabs>
        <w:spacing w:after="120"/>
        <w:ind w:left="1440"/>
      </w:pPr>
      <w:r>
        <w:t xml:space="preserve">The t-statistic for </w:t>
      </w:r>
      <w:r>
        <w:sym w:font="Symbol" w:char="F062"/>
      </w:r>
      <w:r>
        <w:rPr>
          <w:vertAlign w:val="subscript"/>
        </w:rPr>
        <w:t>CP</w:t>
      </w:r>
      <w:r>
        <w:t xml:space="preserve"> is: 1.04/0.20 = 5.20</w:t>
      </w:r>
    </w:p>
    <w:p w:rsidR="00621155" w:rsidRDefault="00621155" w:rsidP="00621155">
      <w:pPr>
        <w:pStyle w:val="BodyTextIndent3"/>
        <w:tabs>
          <w:tab w:val="clear" w:pos="720"/>
          <w:tab w:val="clear" w:pos="1440"/>
        </w:tabs>
        <w:ind w:firstLine="0"/>
      </w:pPr>
      <w:r>
        <w:t>This is significant at the 1% level, so that the confidence level is 99%.</w:t>
      </w:r>
    </w:p>
    <w:p w:rsidR="00621155" w:rsidRDefault="00621155" w:rsidP="00621155">
      <w:pPr>
        <w:pStyle w:val="BodyTextIndent3"/>
        <w:tabs>
          <w:tab w:val="clear" w:pos="720"/>
          <w:tab w:val="clear" w:pos="1440"/>
        </w:tabs>
        <w:ind w:left="0" w:firstLine="0"/>
      </w:pPr>
    </w:p>
    <w:p w:rsidR="00621155" w:rsidRDefault="00621155" w:rsidP="00621155">
      <w:pPr>
        <w:pStyle w:val="BodyTextIndent3"/>
        <w:tabs>
          <w:tab w:val="clear" w:pos="720"/>
          <w:tab w:val="clear" w:pos="1440"/>
        </w:tabs>
        <w:ind w:hanging="720"/>
      </w:pPr>
      <w:proofErr w:type="gramStart"/>
      <w:r>
        <w:t>d</w:t>
      </w:r>
      <w:proofErr w:type="gramEnd"/>
      <w:r>
        <w:t>.</w:t>
      </w:r>
      <w:r>
        <w:tab/>
      </w:r>
      <w:proofErr w:type="spellStart"/>
      <w:r>
        <w:t>r</w:t>
      </w:r>
      <w:r>
        <w:rPr>
          <w:vertAlign w:val="subscript"/>
        </w:rPr>
        <w:t>TD</w:t>
      </w:r>
      <w:proofErr w:type="spellEnd"/>
      <w:r>
        <w:t xml:space="preserve"> = </w:t>
      </w:r>
      <w:proofErr w:type="spellStart"/>
      <w:r>
        <w:t>r</w:t>
      </w:r>
      <w:r>
        <w:rPr>
          <w:vertAlign w:val="subscript"/>
        </w:rPr>
        <w:t>f</w:t>
      </w:r>
      <w:proofErr w:type="spellEnd"/>
      <w:r>
        <w:t xml:space="preserve"> + </w:t>
      </w:r>
      <w:r>
        <w:sym w:font="Symbol" w:char="F062"/>
      </w:r>
      <w:r>
        <w:rPr>
          <w:vertAlign w:val="subscript"/>
        </w:rPr>
        <w:t>TD</w:t>
      </w:r>
      <w:r>
        <w:t xml:space="preserve"> </w:t>
      </w:r>
      <w:r>
        <w:sym w:font="Symbol" w:char="F0B4"/>
      </w:r>
      <w:r>
        <w:t xml:space="preserve"> (</w:t>
      </w:r>
      <w:proofErr w:type="spellStart"/>
      <w:r>
        <w:t>r</w:t>
      </w:r>
      <w:r>
        <w:rPr>
          <w:vertAlign w:val="subscript"/>
        </w:rPr>
        <w:t>m</w:t>
      </w:r>
      <w:proofErr w:type="spellEnd"/>
      <w:r>
        <w:t xml:space="preserve"> </w:t>
      </w:r>
      <w:r>
        <w:rPr>
          <w:rFonts w:cs="Arial"/>
        </w:rPr>
        <w:t>–</w:t>
      </w:r>
      <w:r>
        <w:t xml:space="preserve"> </w:t>
      </w:r>
      <w:proofErr w:type="spellStart"/>
      <w:r>
        <w:t>r</w:t>
      </w:r>
      <w:r>
        <w:rPr>
          <w:vertAlign w:val="subscript"/>
        </w:rPr>
        <w:t>f</w:t>
      </w:r>
      <w:proofErr w:type="spellEnd"/>
      <w:r>
        <w:t xml:space="preserve">) = 0.05 + [0.82 </w:t>
      </w:r>
      <w:r>
        <w:sym w:font="Symbol" w:char="F0B4"/>
      </w:r>
      <w:r>
        <w:t xml:space="preserve"> (0.12 – 0.05)] = 0.1074 = 10.74%</w:t>
      </w:r>
    </w:p>
    <w:p w:rsidR="00621155" w:rsidRDefault="00621155" w:rsidP="00621155">
      <w:pPr>
        <w:pStyle w:val="BodyTextIndent3"/>
        <w:tabs>
          <w:tab w:val="clear" w:pos="720"/>
          <w:tab w:val="clear" w:pos="1440"/>
        </w:tabs>
        <w:ind w:left="0" w:firstLine="0"/>
      </w:pPr>
    </w:p>
    <w:p w:rsidR="00621155" w:rsidRDefault="00621155" w:rsidP="00621155">
      <w:pPr>
        <w:pStyle w:val="BodyTextIndent3"/>
        <w:tabs>
          <w:tab w:val="clear" w:pos="720"/>
          <w:tab w:val="clear" w:pos="1440"/>
        </w:tabs>
        <w:ind w:hanging="720"/>
      </w:pPr>
      <w:proofErr w:type="gramStart"/>
      <w:r>
        <w:t>e</w:t>
      </w:r>
      <w:proofErr w:type="gramEnd"/>
      <w:r>
        <w:t>.</w:t>
      </w:r>
      <w:r>
        <w:tab/>
      </w:r>
      <w:proofErr w:type="spellStart"/>
      <w:r>
        <w:t>r</w:t>
      </w:r>
      <w:r>
        <w:rPr>
          <w:vertAlign w:val="subscript"/>
        </w:rPr>
        <w:t>TD</w:t>
      </w:r>
      <w:proofErr w:type="spellEnd"/>
      <w:r>
        <w:t xml:space="preserve"> = </w:t>
      </w:r>
      <w:proofErr w:type="spellStart"/>
      <w:r>
        <w:t>r</w:t>
      </w:r>
      <w:r>
        <w:rPr>
          <w:vertAlign w:val="subscript"/>
        </w:rPr>
        <w:t>f</w:t>
      </w:r>
      <w:proofErr w:type="spellEnd"/>
      <w:r>
        <w:t xml:space="preserve"> + </w:t>
      </w:r>
      <w:r>
        <w:sym w:font="Symbol" w:char="F062"/>
      </w:r>
      <w:r>
        <w:rPr>
          <w:vertAlign w:val="subscript"/>
        </w:rPr>
        <w:t>TD</w:t>
      </w:r>
      <w:r>
        <w:t xml:space="preserve"> </w:t>
      </w:r>
      <w:r>
        <w:sym w:font="Symbol" w:char="F0B4"/>
      </w:r>
      <w:r>
        <w:t xml:space="preserve"> (</w:t>
      </w:r>
      <w:proofErr w:type="spellStart"/>
      <w:r>
        <w:t>r</w:t>
      </w:r>
      <w:r>
        <w:rPr>
          <w:vertAlign w:val="subscript"/>
        </w:rPr>
        <w:t>m</w:t>
      </w:r>
      <w:proofErr w:type="spellEnd"/>
      <w:r>
        <w:t xml:space="preserve"> </w:t>
      </w:r>
      <w:r>
        <w:rPr>
          <w:rFonts w:cs="Arial"/>
        </w:rPr>
        <w:t>–</w:t>
      </w:r>
      <w:r>
        <w:t xml:space="preserve"> </w:t>
      </w:r>
      <w:proofErr w:type="spellStart"/>
      <w:r>
        <w:t>r</w:t>
      </w:r>
      <w:r>
        <w:rPr>
          <w:vertAlign w:val="subscript"/>
        </w:rPr>
        <w:t>f</w:t>
      </w:r>
      <w:proofErr w:type="spellEnd"/>
      <w:r>
        <w:t xml:space="preserve">) = 0.05 + [0.82 </w:t>
      </w:r>
      <w:r>
        <w:sym w:font="Symbol" w:char="F0B4"/>
      </w:r>
      <w:r>
        <w:t xml:space="preserve"> (0 – 0.05)] = 0.0090 = 0.90%</w:t>
      </w:r>
    </w:p>
    <w:p w:rsidR="00621155" w:rsidRDefault="00621155" w:rsidP="00621155">
      <w:pPr>
        <w:pStyle w:val="BodyTextIndent3"/>
        <w:tabs>
          <w:tab w:val="clear" w:pos="720"/>
          <w:tab w:val="clear" w:pos="1440"/>
        </w:tabs>
        <w:spacing w:line="360" w:lineRule="auto"/>
        <w:ind w:left="0" w:firstLine="0"/>
      </w:pPr>
    </w:p>
    <w:p w:rsidR="00621155" w:rsidRDefault="00621155" w:rsidP="00621155">
      <w:pPr>
        <w:pStyle w:val="BodyTextIndent3"/>
        <w:tabs>
          <w:tab w:val="clear" w:pos="720"/>
          <w:tab w:val="clear" w:pos="1440"/>
        </w:tabs>
        <w:ind w:left="720" w:right="270" w:hanging="720"/>
      </w:pPr>
      <w:r>
        <w:t>14.</w:t>
      </w:r>
      <w:r>
        <w:tab/>
        <w:t>The total market value of outstanding debt is $300,000.  The cost of debt capital is 8 percent.  For the common stock, the outstanding market value is:</w:t>
      </w:r>
    </w:p>
    <w:p w:rsidR="00621155" w:rsidRDefault="00621155" w:rsidP="00621155">
      <w:pPr>
        <w:pStyle w:val="BodyTextIndent3"/>
        <w:tabs>
          <w:tab w:val="clear" w:pos="720"/>
          <w:tab w:val="clear" w:pos="1440"/>
        </w:tabs>
        <w:ind w:left="720" w:right="270" w:hanging="720"/>
      </w:pPr>
      <w:r>
        <w:br w:type="page"/>
      </w:r>
    </w:p>
    <w:p w:rsidR="00621155" w:rsidRDefault="00621155" w:rsidP="00621155">
      <w:pPr>
        <w:pStyle w:val="BodyTextIndent3"/>
        <w:tabs>
          <w:tab w:val="clear" w:pos="720"/>
          <w:tab w:val="clear" w:pos="1440"/>
        </w:tabs>
        <w:spacing w:after="120"/>
        <w:ind w:left="720" w:firstLine="0"/>
      </w:pPr>
      <w:r>
        <w:lastRenderedPageBreak/>
        <w:t xml:space="preserve">$50 </w:t>
      </w:r>
      <w:r>
        <w:sym w:font="Symbol" w:char="F0B4"/>
      </w:r>
      <w:r>
        <w:t xml:space="preserve"> 10,000 = $500,000.  The cost of equity capital is 15 percent.  Thus, Lorelei’s weighted-average cost of capital is:</w:t>
      </w:r>
    </w:p>
    <w:p w:rsidR="00621155" w:rsidRDefault="00621155" w:rsidP="00621155">
      <w:pPr>
        <w:pStyle w:val="BodyTextIndent3"/>
        <w:tabs>
          <w:tab w:val="clear" w:pos="720"/>
          <w:tab w:val="clear" w:pos="1440"/>
        </w:tabs>
        <w:spacing w:line="360" w:lineRule="auto"/>
        <w:ind w:firstLine="0"/>
        <w:rPr>
          <w:noProof/>
        </w:rPr>
      </w:pPr>
      <w:r w:rsidRPr="008B175A">
        <w:rPr>
          <w:noProof/>
          <w:position w:val="-32"/>
        </w:rPr>
        <w:object w:dxaOrig="6880" w:dyaOrig="760">
          <v:shape id="_x0000_i1030" type="#_x0000_t75" style="width:344.25pt;height:38.25pt" o:ole="" fillcolor="window">
            <v:imagedata r:id="rId15" o:title=""/>
          </v:shape>
          <o:OLEObject Type="Embed" ProgID="Equation.3" ShapeID="_x0000_i1030" DrawAspect="Content" ObjectID="_1355990446" r:id="rId16"/>
        </w:object>
      </w:r>
    </w:p>
    <w:p w:rsidR="00621155" w:rsidRDefault="00621155" w:rsidP="00621155">
      <w:pPr>
        <w:pStyle w:val="BodyTextIndent3"/>
        <w:tabs>
          <w:tab w:val="clear" w:pos="720"/>
          <w:tab w:val="left" w:pos="1440"/>
          <w:tab w:val="left" w:pos="2160"/>
          <w:tab w:val="left" w:pos="2880"/>
          <w:tab w:val="left" w:pos="3600"/>
        </w:tabs>
        <w:ind w:firstLine="0"/>
      </w:pPr>
      <w:proofErr w:type="spellStart"/>
      <w:proofErr w:type="gramStart"/>
      <w:r>
        <w:t>r</w:t>
      </w:r>
      <w:r>
        <w:rPr>
          <w:vertAlign w:val="subscript"/>
        </w:rPr>
        <w:t>assets</w:t>
      </w:r>
      <w:proofErr w:type="spellEnd"/>
      <w:proofErr w:type="gramEnd"/>
      <w:r>
        <w:t xml:space="preserve"> = 0.124 = 12.4%</w:t>
      </w:r>
    </w:p>
    <w:p w:rsidR="00621155" w:rsidRDefault="00621155" w:rsidP="00621155">
      <w:pPr>
        <w:pStyle w:val="BodyTextIndent3"/>
        <w:tabs>
          <w:tab w:val="clear" w:pos="720"/>
          <w:tab w:val="clear" w:pos="1440"/>
        </w:tabs>
        <w:ind w:left="0" w:firstLine="0"/>
      </w:pPr>
    </w:p>
    <w:p w:rsidR="00621155" w:rsidRDefault="00621155" w:rsidP="00621155">
      <w:pPr>
        <w:pStyle w:val="BodyTextIndent3"/>
        <w:tabs>
          <w:tab w:val="clear" w:pos="720"/>
          <w:tab w:val="clear" w:pos="1440"/>
        </w:tabs>
        <w:ind w:left="0" w:firstLine="0"/>
      </w:pPr>
    </w:p>
    <w:p w:rsidR="00621155" w:rsidRDefault="00621155" w:rsidP="00621155">
      <w:pPr>
        <w:pStyle w:val="BodyTextIndent3"/>
        <w:tabs>
          <w:tab w:val="clear" w:pos="1440"/>
        </w:tabs>
        <w:spacing w:after="120"/>
      </w:pPr>
      <w:r>
        <w:t>15.</w:t>
      </w:r>
      <w:r>
        <w:tab/>
        <w:t>a.</w:t>
      </w:r>
      <w:r>
        <w:tab/>
      </w:r>
      <w:proofErr w:type="spellStart"/>
      <w:r>
        <w:t>r</w:t>
      </w:r>
      <w:r>
        <w:rPr>
          <w:vertAlign w:val="subscript"/>
        </w:rPr>
        <w:t>BN</w:t>
      </w:r>
      <w:proofErr w:type="spellEnd"/>
      <w:r>
        <w:t xml:space="preserve"> = </w:t>
      </w:r>
      <w:proofErr w:type="spellStart"/>
      <w:proofErr w:type="gramStart"/>
      <w:r>
        <w:t>r</w:t>
      </w:r>
      <w:r>
        <w:rPr>
          <w:vertAlign w:val="subscript"/>
        </w:rPr>
        <w:t>f</w:t>
      </w:r>
      <w:proofErr w:type="spellEnd"/>
      <w:proofErr w:type="gramEnd"/>
      <w:r>
        <w:t xml:space="preserve"> + </w:t>
      </w:r>
      <w:r>
        <w:sym w:font="Symbol" w:char="F062"/>
      </w:r>
      <w:r>
        <w:rPr>
          <w:vertAlign w:val="subscript"/>
        </w:rPr>
        <w:t>BN</w:t>
      </w:r>
      <w:r>
        <w:t xml:space="preserve"> </w:t>
      </w:r>
      <w:r>
        <w:sym w:font="Symbol" w:char="F0B4"/>
      </w:r>
      <w:r>
        <w:t xml:space="preserve"> (</w:t>
      </w:r>
      <w:proofErr w:type="spellStart"/>
      <w:r>
        <w:t>r</w:t>
      </w:r>
      <w:r>
        <w:rPr>
          <w:vertAlign w:val="subscript"/>
        </w:rPr>
        <w:t>m</w:t>
      </w:r>
      <w:proofErr w:type="spellEnd"/>
      <w:r>
        <w:t xml:space="preserve"> </w:t>
      </w:r>
      <w:r>
        <w:rPr>
          <w:rFonts w:cs="Arial"/>
        </w:rPr>
        <w:t>–</w:t>
      </w:r>
      <w:r>
        <w:t xml:space="preserve"> </w:t>
      </w:r>
      <w:proofErr w:type="spellStart"/>
      <w:r>
        <w:t>r</w:t>
      </w:r>
      <w:r>
        <w:rPr>
          <w:vertAlign w:val="subscript"/>
        </w:rPr>
        <w:t>f</w:t>
      </w:r>
      <w:proofErr w:type="spellEnd"/>
      <w:r>
        <w:t xml:space="preserve">) = 0.05 + (01.01 </w:t>
      </w:r>
      <w:r>
        <w:sym w:font="Symbol" w:char="F0B4"/>
      </w:r>
      <w:r>
        <w:t xml:space="preserve"> 0.07) = 0.1207 = 12.07%</w:t>
      </w:r>
    </w:p>
    <w:p w:rsidR="00621155" w:rsidRDefault="00621155" w:rsidP="00621155">
      <w:pPr>
        <w:pStyle w:val="BodyTextIndent3"/>
        <w:tabs>
          <w:tab w:val="clear" w:pos="720"/>
          <w:tab w:val="clear" w:pos="1440"/>
        </w:tabs>
        <w:ind w:firstLine="0"/>
      </w:pPr>
      <w:proofErr w:type="spellStart"/>
      <w:proofErr w:type="gramStart"/>
      <w:r>
        <w:t>r</w:t>
      </w:r>
      <w:r>
        <w:rPr>
          <w:vertAlign w:val="subscript"/>
        </w:rPr>
        <w:t>IND</w:t>
      </w:r>
      <w:proofErr w:type="spellEnd"/>
      <w:proofErr w:type="gramEnd"/>
      <w:r>
        <w:t xml:space="preserve"> = </w:t>
      </w:r>
      <w:proofErr w:type="spellStart"/>
      <w:r>
        <w:t>r</w:t>
      </w:r>
      <w:r>
        <w:rPr>
          <w:vertAlign w:val="subscript"/>
        </w:rPr>
        <w:t>f</w:t>
      </w:r>
      <w:proofErr w:type="spellEnd"/>
      <w:r>
        <w:t xml:space="preserve"> + </w:t>
      </w:r>
      <w:r>
        <w:sym w:font="Symbol" w:char="F062"/>
      </w:r>
      <w:smartTag w:uri="urn:schemas-microsoft-com:office:smarttags" w:element="place">
        <w:smartTag w:uri="urn:schemas-microsoft-com:office:smarttags" w:element="State">
          <w:r>
            <w:rPr>
              <w:vertAlign w:val="subscript"/>
            </w:rPr>
            <w:t>IND</w:t>
          </w:r>
        </w:smartTag>
      </w:smartTag>
      <w:r>
        <w:t xml:space="preserve"> </w:t>
      </w:r>
      <w:r>
        <w:sym w:font="Symbol" w:char="F0B4"/>
      </w:r>
      <w:r>
        <w:t xml:space="preserve"> (</w:t>
      </w:r>
      <w:proofErr w:type="spellStart"/>
      <w:r>
        <w:t>r</w:t>
      </w:r>
      <w:r>
        <w:rPr>
          <w:vertAlign w:val="subscript"/>
        </w:rPr>
        <w:t>m</w:t>
      </w:r>
      <w:proofErr w:type="spellEnd"/>
      <w:r>
        <w:t xml:space="preserve"> </w:t>
      </w:r>
      <w:r>
        <w:rPr>
          <w:rFonts w:cs="Arial"/>
        </w:rPr>
        <w:t>–</w:t>
      </w:r>
      <w:r>
        <w:t xml:space="preserve"> </w:t>
      </w:r>
      <w:proofErr w:type="spellStart"/>
      <w:r>
        <w:t>r</w:t>
      </w:r>
      <w:r>
        <w:rPr>
          <w:vertAlign w:val="subscript"/>
        </w:rPr>
        <w:t>f</w:t>
      </w:r>
      <w:proofErr w:type="spellEnd"/>
      <w:r>
        <w:t xml:space="preserve">) = 0.05 + (01.24 </w:t>
      </w:r>
      <w:r>
        <w:sym w:font="Symbol" w:char="F0B4"/>
      </w:r>
      <w:r>
        <w:t xml:space="preserve"> 0.07) = 0.1368 = 13.68%</w:t>
      </w:r>
    </w:p>
    <w:p w:rsidR="00621155" w:rsidRDefault="00621155" w:rsidP="00621155">
      <w:pPr>
        <w:pStyle w:val="BodyTextIndent3"/>
        <w:tabs>
          <w:tab w:val="clear" w:pos="720"/>
          <w:tab w:val="clear" w:pos="1440"/>
        </w:tabs>
        <w:ind w:left="0" w:firstLine="0"/>
      </w:pPr>
    </w:p>
    <w:p w:rsidR="00621155" w:rsidRDefault="00621155" w:rsidP="00621155">
      <w:pPr>
        <w:pStyle w:val="BodyTextIndent3"/>
        <w:tabs>
          <w:tab w:val="clear" w:pos="720"/>
          <w:tab w:val="clear" w:pos="1440"/>
        </w:tabs>
        <w:ind w:hanging="720"/>
      </w:pPr>
      <w:r>
        <w:t>b.</w:t>
      </w:r>
      <w:r>
        <w:tab/>
        <w:t xml:space="preserve">No, we </w:t>
      </w:r>
      <w:proofErr w:type="spellStart"/>
      <w:r>
        <w:t>can not</w:t>
      </w:r>
      <w:proofErr w:type="spellEnd"/>
      <w:r>
        <w:t xml:space="preserve"> be confident that </w:t>
      </w:r>
      <w:smartTag w:uri="urn:schemas-microsoft-com:office:smarttags" w:element="place">
        <w:smartTag w:uri="urn:schemas-microsoft-com:office:smarttags" w:element="City">
          <w:r>
            <w:t>Burlington</w:t>
          </w:r>
        </w:smartTag>
      </w:smartTag>
      <w:r>
        <w:t xml:space="preserve">’s true beta is not the industry average.  The difference between </w:t>
      </w:r>
      <w:r>
        <w:sym w:font="Symbol" w:char="F062"/>
      </w:r>
      <w:r>
        <w:rPr>
          <w:vertAlign w:val="subscript"/>
        </w:rPr>
        <w:t xml:space="preserve">BN </w:t>
      </w:r>
      <w:r>
        <w:t xml:space="preserve">and </w:t>
      </w:r>
      <w:r>
        <w:sym w:font="Symbol" w:char="F062"/>
      </w:r>
      <w:smartTag w:uri="urn:schemas-microsoft-com:office:smarttags" w:element="State">
        <w:r>
          <w:rPr>
            <w:vertAlign w:val="subscript"/>
          </w:rPr>
          <w:t>IND</w:t>
        </w:r>
      </w:smartTag>
      <w:r>
        <w:t xml:space="preserve"> (0.23) is less than two times the standard error (2 </w:t>
      </w:r>
      <w:r>
        <w:sym w:font="Symbol" w:char="F0B4"/>
      </w:r>
      <w:r>
        <w:t xml:space="preserve"> 0.19 = 0.38), so we cannot reject the hypothesis that </w:t>
      </w:r>
      <w:r>
        <w:sym w:font="Symbol" w:char="F062"/>
      </w:r>
      <w:r>
        <w:rPr>
          <w:vertAlign w:val="subscript"/>
        </w:rPr>
        <w:t>BN</w:t>
      </w:r>
      <w:r>
        <w:t xml:space="preserve"> = </w:t>
      </w:r>
      <w:r>
        <w:sym w:font="Symbol" w:char="F062"/>
      </w:r>
      <w:smartTag w:uri="urn:schemas-microsoft-com:office:smarttags" w:element="State">
        <w:smartTag w:uri="urn:schemas-microsoft-com:office:smarttags" w:element="place">
          <w:r>
            <w:rPr>
              <w:vertAlign w:val="subscript"/>
            </w:rPr>
            <w:t>IND</w:t>
          </w:r>
        </w:smartTag>
      </w:smartTag>
      <w:r>
        <w:t xml:space="preserve"> with 95% confidence.</w:t>
      </w:r>
    </w:p>
    <w:p w:rsidR="00621155" w:rsidRDefault="00621155" w:rsidP="00621155">
      <w:pPr>
        <w:pStyle w:val="BodyTextIndent3"/>
        <w:tabs>
          <w:tab w:val="clear" w:pos="720"/>
          <w:tab w:val="clear" w:pos="1440"/>
        </w:tabs>
        <w:ind w:hanging="720"/>
      </w:pPr>
    </w:p>
    <w:p w:rsidR="00621155" w:rsidRDefault="00621155" w:rsidP="00621155">
      <w:pPr>
        <w:pStyle w:val="BodyTextIndent3"/>
        <w:tabs>
          <w:tab w:val="clear" w:pos="720"/>
          <w:tab w:val="clear" w:pos="1440"/>
        </w:tabs>
        <w:ind w:hanging="720"/>
      </w:pPr>
      <w:r>
        <w:t>c.</w:t>
      </w:r>
      <w:r>
        <w:tab/>
      </w:r>
      <w:smartTag w:uri="urn:schemas-microsoft-com:office:smarttags" w:element="place">
        <w:smartTag w:uri="urn:schemas-microsoft-com:office:smarttags" w:element="City">
          <w:r>
            <w:t>Burlington</w:t>
          </w:r>
        </w:smartTag>
      </w:smartTag>
      <w:r>
        <w:t xml:space="preserve">’s beta might be different from the industry beta for a variety of reasons.  For example, </w:t>
      </w:r>
      <w:smartTag w:uri="urn:schemas-microsoft-com:office:smarttags" w:element="place">
        <w:smartTag w:uri="urn:schemas-microsoft-com:office:smarttags" w:element="City">
          <w:r>
            <w:t>Burlington</w:t>
          </w:r>
        </w:smartTag>
      </w:smartTag>
      <w:r>
        <w:t xml:space="preserve">’s business might be more cyclical than is the case for the typical firm in the industry.  Or </w:t>
      </w:r>
      <w:smartTag w:uri="urn:schemas-microsoft-com:office:smarttags" w:element="place">
        <w:smartTag w:uri="urn:schemas-microsoft-com:office:smarttags" w:element="City">
          <w:r>
            <w:t>Burlington</w:t>
          </w:r>
        </w:smartTag>
      </w:smartTag>
      <w:r>
        <w:t xml:space="preserve"> might have more fixed operating costs, so that operating leverage is higher.  Another possibility is that </w:t>
      </w:r>
      <w:smartTag w:uri="urn:schemas-microsoft-com:office:smarttags" w:element="place">
        <w:smartTag w:uri="urn:schemas-microsoft-com:office:smarttags" w:element="City">
          <w:r>
            <w:t>Burlington</w:t>
          </w:r>
        </w:smartTag>
      </w:smartTag>
      <w:r>
        <w:t xml:space="preserve"> has more debt than is typical for the industry so that it has higher financial leverage.</w:t>
      </w:r>
    </w:p>
    <w:p w:rsidR="00621155" w:rsidRDefault="00621155" w:rsidP="00621155">
      <w:pPr>
        <w:pStyle w:val="BodyTextIndent3"/>
        <w:tabs>
          <w:tab w:val="clear" w:pos="720"/>
          <w:tab w:val="clear" w:pos="1440"/>
        </w:tabs>
        <w:ind w:left="0" w:firstLine="0"/>
      </w:pPr>
    </w:p>
    <w:p w:rsidR="00621155" w:rsidRDefault="00621155" w:rsidP="00621155">
      <w:pPr>
        <w:pStyle w:val="BodyTextIndent3"/>
        <w:tabs>
          <w:tab w:val="clear" w:pos="720"/>
          <w:tab w:val="clear" w:pos="1440"/>
        </w:tabs>
        <w:ind w:left="0" w:firstLine="0"/>
      </w:pPr>
    </w:p>
    <w:p w:rsidR="00621155" w:rsidRDefault="00621155" w:rsidP="00621155">
      <w:pPr>
        <w:pStyle w:val="BodyTextIndent3"/>
        <w:tabs>
          <w:tab w:val="clear" w:pos="720"/>
          <w:tab w:val="clear" w:pos="1440"/>
        </w:tabs>
        <w:ind w:left="720" w:hanging="720"/>
      </w:pPr>
      <w:r>
        <w:t>16.</w:t>
      </w:r>
      <w:r>
        <w:tab/>
        <w:t>Financial analysts or investors working with portfolios of firms may use industry betas. To calculate an industry beta we would construct a series of industry portfolio investments and evaluate how the returns generated by this portfolio relate to historical market movements.</w:t>
      </w:r>
    </w:p>
    <w:p w:rsidR="00621155" w:rsidRDefault="00621155" w:rsidP="00621155">
      <w:pPr>
        <w:pStyle w:val="BodyTextIndent3"/>
        <w:tabs>
          <w:tab w:val="clear" w:pos="720"/>
          <w:tab w:val="clear" w:pos="1440"/>
        </w:tabs>
        <w:ind w:left="720" w:hanging="720"/>
      </w:pPr>
    </w:p>
    <w:p w:rsidR="00621155" w:rsidRDefault="00621155" w:rsidP="00621155">
      <w:pPr>
        <w:pStyle w:val="BodyTextIndent3"/>
        <w:tabs>
          <w:tab w:val="clear" w:pos="720"/>
          <w:tab w:val="clear" w:pos="1440"/>
        </w:tabs>
        <w:ind w:left="720" w:hanging="720"/>
      </w:pPr>
    </w:p>
    <w:p w:rsidR="00621155" w:rsidRDefault="00621155" w:rsidP="00621155">
      <w:pPr>
        <w:pStyle w:val="BodyTextIndent3"/>
        <w:tabs>
          <w:tab w:val="clear" w:pos="720"/>
          <w:tab w:val="clear" w:pos="1440"/>
        </w:tabs>
        <w:ind w:left="720" w:hanging="720"/>
      </w:pPr>
      <w:r>
        <w:t>17.</w:t>
      </w:r>
      <w:r>
        <w:tab/>
        <w:t>We should use the market value of the stock, not the book value shown on the annual report. This gives us an equity value of 500,000 shares times $18 = $9 million. So Binomial Tree Farm has a debt/value ratio of 5/14 = 0.36 and an equity /value ratio of 9/14 = 0.64.</w:t>
      </w:r>
    </w:p>
    <w:p w:rsidR="00621155" w:rsidRDefault="00621155" w:rsidP="00621155">
      <w:pPr>
        <w:pStyle w:val="BodyTextIndent3"/>
        <w:tabs>
          <w:tab w:val="clear" w:pos="720"/>
          <w:tab w:val="clear" w:pos="1440"/>
        </w:tabs>
        <w:ind w:left="0" w:firstLine="0"/>
      </w:pPr>
    </w:p>
    <w:p w:rsidR="00621155" w:rsidRDefault="00621155" w:rsidP="00621155">
      <w:pPr>
        <w:pStyle w:val="BodyTextIndent3"/>
        <w:tabs>
          <w:tab w:val="clear" w:pos="720"/>
          <w:tab w:val="clear" w:pos="1440"/>
        </w:tabs>
        <w:ind w:left="0" w:firstLine="0"/>
      </w:pPr>
    </w:p>
    <w:p w:rsidR="00621155" w:rsidRDefault="00621155" w:rsidP="00621155">
      <w:pPr>
        <w:pStyle w:val="BodyTextIndent3"/>
        <w:tabs>
          <w:tab w:val="clear" w:pos="1440"/>
          <w:tab w:val="left" w:pos="720"/>
        </w:tabs>
      </w:pPr>
      <w:r>
        <w:t>18.</w:t>
      </w:r>
      <w:r>
        <w:tab/>
      </w:r>
      <w:proofErr w:type="gramStart"/>
      <w:r>
        <w:t>a</w:t>
      </w:r>
      <w:proofErr w:type="gramEnd"/>
      <w:r>
        <w:t>.</w:t>
      </w:r>
      <w:r>
        <w:tab/>
        <w:t xml:space="preserve">If you agree to the fixed price contract, operating leverage increases.  Changes in revenue result in greater than proportionate changes in profit.  If all costs are variable, then changes in revenue result in proportionate changes in profit.  Business risk, measured by </w:t>
      </w:r>
      <w:r>
        <w:sym w:font="Symbol" w:char="F062"/>
      </w:r>
      <w:r>
        <w:rPr>
          <w:vertAlign w:val="subscript"/>
        </w:rPr>
        <w:t>assets</w:t>
      </w:r>
      <w:r>
        <w:t>, also increases as a result of the fixed price contract.  If fixed costs equal zero, then:</w:t>
      </w:r>
    </w:p>
    <w:p w:rsidR="00621155" w:rsidRDefault="00621155" w:rsidP="00621155">
      <w:pPr>
        <w:pStyle w:val="BodyTextIndent3"/>
        <w:tabs>
          <w:tab w:val="clear" w:pos="720"/>
          <w:tab w:val="clear" w:pos="1440"/>
        </w:tabs>
        <w:ind w:firstLine="0"/>
      </w:pPr>
      <w:r>
        <w:sym w:font="Symbol" w:char="F062"/>
      </w:r>
      <w:proofErr w:type="gramStart"/>
      <w:r>
        <w:rPr>
          <w:vertAlign w:val="subscript"/>
        </w:rPr>
        <w:t>assets</w:t>
      </w:r>
      <w:proofErr w:type="gramEnd"/>
      <w:r>
        <w:t xml:space="preserve"> = </w:t>
      </w:r>
      <w:r>
        <w:sym w:font="Symbol" w:char="F062"/>
      </w:r>
      <w:r>
        <w:rPr>
          <w:vertAlign w:val="subscript"/>
        </w:rPr>
        <w:t>revenue</w:t>
      </w:r>
      <w:r>
        <w:t xml:space="preserve">.  However, as </w:t>
      </w:r>
      <w:proofErr w:type="gramStart"/>
      <w:r>
        <w:t>PV(</w:t>
      </w:r>
      <w:proofErr w:type="gramEnd"/>
      <w:r>
        <w:t xml:space="preserve">fixed cost) increases, </w:t>
      </w:r>
      <w:r>
        <w:sym w:font="Symbol" w:char="F062"/>
      </w:r>
      <w:r>
        <w:rPr>
          <w:vertAlign w:val="subscript"/>
        </w:rPr>
        <w:t>assets</w:t>
      </w:r>
      <w:r>
        <w:t xml:space="preserve"> increases.</w:t>
      </w:r>
    </w:p>
    <w:p w:rsidR="00621155" w:rsidRDefault="00621155" w:rsidP="00621155">
      <w:pPr>
        <w:pStyle w:val="BodyTextIndent3"/>
        <w:tabs>
          <w:tab w:val="clear" w:pos="720"/>
          <w:tab w:val="clear" w:pos="1440"/>
        </w:tabs>
        <w:ind w:left="0" w:firstLine="0"/>
      </w:pPr>
    </w:p>
    <w:p w:rsidR="00621155" w:rsidRDefault="00621155" w:rsidP="00621155">
      <w:pPr>
        <w:pStyle w:val="BodyTextIndent3"/>
        <w:tabs>
          <w:tab w:val="clear" w:pos="720"/>
          <w:tab w:val="clear" w:pos="1440"/>
        </w:tabs>
        <w:spacing w:after="120"/>
        <w:ind w:hanging="720"/>
      </w:pPr>
      <w:r>
        <w:br w:type="page"/>
      </w:r>
      <w:proofErr w:type="gramStart"/>
      <w:r>
        <w:lastRenderedPageBreak/>
        <w:t>b</w:t>
      </w:r>
      <w:proofErr w:type="gramEnd"/>
      <w:r>
        <w:t>.</w:t>
      </w:r>
      <w:r>
        <w:tab/>
        <w:t>With the fixed price contract:</w:t>
      </w:r>
    </w:p>
    <w:p w:rsidR="00621155" w:rsidRDefault="00621155" w:rsidP="00621155">
      <w:pPr>
        <w:pStyle w:val="BodyTextIndent3"/>
        <w:tabs>
          <w:tab w:val="clear" w:pos="720"/>
          <w:tab w:val="clear" w:pos="1440"/>
        </w:tabs>
        <w:spacing w:line="360" w:lineRule="auto"/>
        <w:ind w:firstLine="0"/>
      </w:pPr>
      <w:proofErr w:type="gramStart"/>
      <w:r>
        <w:t>PV(</w:t>
      </w:r>
      <w:proofErr w:type="gramEnd"/>
      <w:r>
        <w:t>assets) = PV(revenue) – PV(fixed cost) – PV(variable cost)</w:t>
      </w:r>
    </w:p>
    <w:p w:rsidR="00621155" w:rsidRDefault="00621155" w:rsidP="00621155">
      <w:pPr>
        <w:pStyle w:val="BodyTextIndent3"/>
        <w:tabs>
          <w:tab w:val="clear" w:pos="720"/>
          <w:tab w:val="clear" w:pos="1440"/>
        </w:tabs>
        <w:spacing w:line="360" w:lineRule="auto"/>
        <w:ind w:left="720" w:firstLine="0"/>
        <w:rPr>
          <w:noProof/>
          <w:position w:val="-30"/>
        </w:rPr>
      </w:pPr>
      <w:r w:rsidRPr="00684E33">
        <w:rPr>
          <w:noProof/>
          <w:position w:val="-30"/>
        </w:rPr>
        <w:object w:dxaOrig="8860" w:dyaOrig="680">
          <v:shape id="_x0000_i1031" type="#_x0000_t75" style="width:443.25pt;height:33.75pt" o:ole="" fillcolor="window">
            <v:imagedata r:id="rId17" o:title=""/>
          </v:shape>
        </w:object>
      </w:r>
    </w:p>
    <w:p w:rsidR="00621155" w:rsidRDefault="00621155" w:rsidP="00621155">
      <w:pPr>
        <w:pStyle w:val="BodyTextIndent3"/>
        <w:tabs>
          <w:tab w:val="clear" w:pos="720"/>
          <w:tab w:val="clear" w:pos="1440"/>
        </w:tabs>
        <w:spacing w:after="120"/>
        <w:ind w:firstLine="0"/>
        <w:rPr>
          <w:noProof/>
        </w:rPr>
      </w:pPr>
      <w:r>
        <w:rPr>
          <w:noProof/>
        </w:rPr>
        <w:t>PV(assets) = $97,462,710</w:t>
      </w:r>
    </w:p>
    <w:p w:rsidR="00621155" w:rsidRDefault="00621155" w:rsidP="00621155">
      <w:pPr>
        <w:pStyle w:val="BodyTextIndent3"/>
        <w:tabs>
          <w:tab w:val="clear" w:pos="720"/>
          <w:tab w:val="clear" w:pos="1440"/>
        </w:tabs>
        <w:spacing w:after="120"/>
        <w:ind w:firstLine="0"/>
      </w:pPr>
      <w:r>
        <w:t>Without the fixed price contract:</w:t>
      </w:r>
    </w:p>
    <w:p w:rsidR="00621155" w:rsidRDefault="00621155" w:rsidP="00621155">
      <w:pPr>
        <w:pStyle w:val="BodyTextIndent3"/>
        <w:tabs>
          <w:tab w:val="clear" w:pos="720"/>
          <w:tab w:val="clear" w:pos="1440"/>
        </w:tabs>
        <w:spacing w:line="360" w:lineRule="auto"/>
        <w:ind w:firstLine="0"/>
      </w:pPr>
      <w:proofErr w:type="gramStart"/>
      <w:r>
        <w:t>PV(</w:t>
      </w:r>
      <w:proofErr w:type="gramEnd"/>
      <w:r>
        <w:t>assets) = PV(revenue) – PV(variable cost)</w:t>
      </w:r>
    </w:p>
    <w:p w:rsidR="00621155" w:rsidRDefault="00621155" w:rsidP="00621155">
      <w:pPr>
        <w:pStyle w:val="BodyTextIndent3"/>
        <w:tabs>
          <w:tab w:val="clear" w:pos="720"/>
          <w:tab w:val="clear" w:pos="1440"/>
        </w:tabs>
        <w:spacing w:line="360" w:lineRule="auto"/>
        <w:ind w:firstLine="0"/>
        <w:rPr>
          <w:noProof/>
        </w:rPr>
      </w:pPr>
      <w:r w:rsidRPr="002F7DDF">
        <w:rPr>
          <w:noProof/>
          <w:position w:val="-24"/>
        </w:rPr>
        <w:object w:dxaOrig="3960" w:dyaOrig="620">
          <v:shape id="_x0000_i1032" type="#_x0000_t75" style="width:198pt;height:30.75pt" o:ole="" fillcolor="window">
            <v:imagedata r:id="rId18" o:title=""/>
          </v:shape>
          <o:OLEObject Type="Embed" ProgID="Equation.3" ShapeID="_x0000_i1032" DrawAspect="Content" ObjectID="_1355990448" r:id="rId19"/>
        </w:object>
      </w:r>
    </w:p>
    <w:p w:rsidR="00621155" w:rsidRDefault="00621155" w:rsidP="00621155">
      <w:pPr>
        <w:pStyle w:val="BodyTextIndent3"/>
        <w:tabs>
          <w:tab w:val="clear" w:pos="720"/>
          <w:tab w:val="clear" w:pos="1440"/>
        </w:tabs>
        <w:ind w:firstLine="0"/>
        <w:rPr>
          <w:noProof/>
        </w:rPr>
      </w:pPr>
      <w:r>
        <w:rPr>
          <w:noProof/>
        </w:rPr>
        <w:t>PV(assets) = $111,111,111</w:t>
      </w:r>
    </w:p>
    <w:p w:rsidR="00621155" w:rsidRDefault="00621155" w:rsidP="00621155">
      <w:pPr>
        <w:pStyle w:val="BodyTextIndent3"/>
        <w:tabs>
          <w:tab w:val="clear" w:pos="720"/>
          <w:tab w:val="clear" w:pos="1440"/>
        </w:tabs>
        <w:ind w:left="0" w:firstLine="0"/>
      </w:pPr>
    </w:p>
    <w:p w:rsidR="00621155" w:rsidRDefault="00621155" w:rsidP="00621155">
      <w:pPr>
        <w:pStyle w:val="BodyTextIndent3"/>
        <w:tabs>
          <w:tab w:val="clear" w:pos="720"/>
          <w:tab w:val="clear" w:pos="1440"/>
        </w:tabs>
        <w:ind w:left="0" w:firstLine="0"/>
      </w:pPr>
    </w:p>
    <w:p w:rsidR="00621155" w:rsidRDefault="00621155" w:rsidP="00621155">
      <w:pPr>
        <w:pStyle w:val="BodyTextIndent3"/>
        <w:tabs>
          <w:tab w:val="clear" w:pos="1440"/>
          <w:tab w:val="left" w:pos="720"/>
        </w:tabs>
        <w:ind w:right="270"/>
      </w:pPr>
      <w:r>
        <w:t>19.</w:t>
      </w:r>
      <w:r>
        <w:tab/>
      </w:r>
      <w:proofErr w:type="gramStart"/>
      <w:r>
        <w:t>a</w:t>
      </w:r>
      <w:proofErr w:type="gramEnd"/>
      <w:r>
        <w:t>.</w:t>
      </w:r>
      <w:r>
        <w:tab/>
        <w:t xml:space="preserve">The threat of a coup d’état means that the </w:t>
      </w:r>
      <w:r>
        <w:rPr>
          <w:i/>
        </w:rPr>
        <w:t>expected</w:t>
      </w:r>
      <w:r>
        <w:t xml:space="preserve"> cash flow is less than $250,000.  The threat could also increase the discount rate, but only if it increases market risk.</w:t>
      </w:r>
    </w:p>
    <w:p w:rsidR="00621155" w:rsidRDefault="00621155" w:rsidP="00621155">
      <w:pPr>
        <w:pStyle w:val="BodyTextIndent3"/>
        <w:tabs>
          <w:tab w:val="clear" w:pos="720"/>
          <w:tab w:val="clear" w:pos="1440"/>
        </w:tabs>
        <w:ind w:left="0" w:firstLine="0"/>
      </w:pPr>
    </w:p>
    <w:p w:rsidR="00621155" w:rsidRDefault="00621155" w:rsidP="00621155">
      <w:pPr>
        <w:pStyle w:val="BodyTextIndent3"/>
        <w:numPr>
          <w:ilvl w:val="1"/>
          <w:numId w:val="3"/>
        </w:numPr>
        <w:tabs>
          <w:tab w:val="clear" w:pos="720"/>
          <w:tab w:val="clear" w:pos="1440"/>
        </w:tabs>
        <w:spacing w:after="120"/>
        <w:ind w:hanging="720"/>
      </w:pPr>
      <w:r>
        <w:t xml:space="preserve">The expected cash flow is: (0.25 </w:t>
      </w:r>
      <w:r>
        <w:sym w:font="Symbol" w:char="F0B4"/>
      </w:r>
      <w:r>
        <w:t xml:space="preserve"> 0) + (0.75 </w:t>
      </w:r>
      <w:r>
        <w:sym w:font="Symbol" w:char="F0B4"/>
      </w:r>
      <w:r>
        <w:t xml:space="preserve"> 250,000) = $187,500</w:t>
      </w:r>
    </w:p>
    <w:p w:rsidR="00621155" w:rsidRDefault="00621155" w:rsidP="00621155">
      <w:pPr>
        <w:pStyle w:val="BodyTextIndent3"/>
        <w:tabs>
          <w:tab w:val="clear" w:pos="720"/>
          <w:tab w:val="clear" w:pos="1440"/>
        </w:tabs>
        <w:spacing w:after="120"/>
        <w:ind w:right="360" w:firstLine="0"/>
      </w:pPr>
      <w:r>
        <w:t>Assuming that the cash flow is about as risky as the rest of the company’s business:</w:t>
      </w:r>
    </w:p>
    <w:p w:rsidR="00621155" w:rsidRDefault="00621155" w:rsidP="00621155">
      <w:pPr>
        <w:pStyle w:val="BodyTextIndent3"/>
        <w:tabs>
          <w:tab w:val="clear" w:pos="720"/>
          <w:tab w:val="clear" w:pos="1440"/>
        </w:tabs>
        <w:ind w:left="2160" w:firstLine="0"/>
      </w:pPr>
      <w:r>
        <w:t>PV = $187,500/1.12 = $167,411</w:t>
      </w:r>
    </w:p>
    <w:p w:rsidR="00621155" w:rsidRDefault="00621155" w:rsidP="00621155">
      <w:pPr>
        <w:pStyle w:val="BodyTextIndent3"/>
        <w:tabs>
          <w:tab w:val="clear" w:pos="1440"/>
          <w:tab w:val="left" w:pos="720"/>
        </w:tabs>
        <w:spacing w:after="120"/>
      </w:pPr>
    </w:p>
    <w:p w:rsidR="00621155" w:rsidRDefault="00621155" w:rsidP="00621155">
      <w:pPr>
        <w:pStyle w:val="BodyTextIndent3"/>
        <w:tabs>
          <w:tab w:val="clear" w:pos="1440"/>
          <w:tab w:val="left" w:pos="720"/>
        </w:tabs>
        <w:spacing w:after="120"/>
      </w:pPr>
    </w:p>
    <w:p w:rsidR="00621155" w:rsidRDefault="00621155" w:rsidP="00621155">
      <w:pPr>
        <w:pStyle w:val="BodyTextIndent3"/>
        <w:tabs>
          <w:tab w:val="clear" w:pos="1440"/>
          <w:tab w:val="left" w:pos="720"/>
        </w:tabs>
        <w:spacing w:after="120"/>
      </w:pPr>
      <w:r>
        <w:t>20.</w:t>
      </w:r>
      <w:r>
        <w:tab/>
        <w:t>a.</w:t>
      </w:r>
      <w:r>
        <w:tab/>
        <w:t>Expected daily production =</w:t>
      </w:r>
    </w:p>
    <w:p w:rsidR="00621155" w:rsidRDefault="00621155" w:rsidP="00621155">
      <w:pPr>
        <w:pStyle w:val="BodyTextIndent3"/>
        <w:tabs>
          <w:tab w:val="clear" w:pos="720"/>
          <w:tab w:val="clear" w:pos="1440"/>
        </w:tabs>
        <w:spacing w:line="360" w:lineRule="auto"/>
        <w:ind w:left="2250" w:firstLine="0"/>
      </w:pPr>
      <w:r>
        <w:t xml:space="preserve">(0.2 </w:t>
      </w:r>
      <w:r>
        <w:sym w:font="Symbol" w:char="F0B4"/>
      </w:r>
      <w:r>
        <w:t xml:space="preserve"> 0) + 0.8 </w:t>
      </w:r>
      <w:r>
        <w:sym w:font="Symbol" w:char="F0B4"/>
      </w:r>
      <w:r>
        <w:t xml:space="preserve"> [(0.4 x 1,000) + (0.6 x 5,000)] = 2,720 barrels</w:t>
      </w:r>
    </w:p>
    <w:p w:rsidR="00621155" w:rsidRDefault="00621155" w:rsidP="00621155">
      <w:pPr>
        <w:pStyle w:val="BodyTextIndent3"/>
        <w:tabs>
          <w:tab w:val="clear" w:pos="720"/>
          <w:tab w:val="clear" w:pos="1440"/>
        </w:tabs>
        <w:ind w:firstLine="0"/>
      </w:pPr>
      <w:r>
        <w:t>Expected annual cash revenues = 2,720 x 365 x $15 = $49,640,000</w:t>
      </w:r>
    </w:p>
    <w:p w:rsidR="00621155" w:rsidRDefault="00621155" w:rsidP="00621155">
      <w:pPr>
        <w:pStyle w:val="BodyTextIndent3"/>
        <w:tabs>
          <w:tab w:val="clear" w:pos="720"/>
          <w:tab w:val="clear" w:pos="1440"/>
        </w:tabs>
        <w:ind w:left="0" w:firstLine="0"/>
      </w:pPr>
    </w:p>
    <w:p w:rsidR="00621155" w:rsidRDefault="00621155" w:rsidP="00621155">
      <w:pPr>
        <w:pStyle w:val="BodyTextIndent3"/>
        <w:numPr>
          <w:ilvl w:val="0"/>
          <w:numId w:val="1"/>
        </w:numPr>
        <w:tabs>
          <w:tab w:val="clear" w:pos="720"/>
          <w:tab w:val="clear" w:pos="1440"/>
        </w:tabs>
        <w:ind w:right="180"/>
      </w:pPr>
      <w:r>
        <w:t>The possibility of a dry hole is a diversifiable risk and should not affect the discount rate.  This possibility should affect forecasted cash flows, however.  See Part (a).</w:t>
      </w:r>
    </w:p>
    <w:p w:rsidR="00621155" w:rsidRDefault="00621155" w:rsidP="00621155">
      <w:pPr>
        <w:pStyle w:val="BodyTextIndent3"/>
        <w:tabs>
          <w:tab w:val="clear" w:pos="720"/>
          <w:tab w:val="clear" w:pos="1440"/>
        </w:tabs>
        <w:ind w:left="0" w:firstLine="0"/>
      </w:pPr>
    </w:p>
    <w:p w:rsidR="00621155" w:rsidRDefault="00621155" w:rsidP="00621155">
      <w:pPr>
        <w:pStyle w:val="BodyTextIndent3"/>
        <w:tabs>
          <w:tab w:val="clear" w:pos="720"/>
          <w:tab w:val="clear" w:pos="1440"/>
        </w:tabs>
        <w:ind w:left="0" w:firstLine="0"/>
      </w:pPr>
    </w:p>
    <w:p w:rsidR="00621155" w:rsidRDefault="00621155" w:rsidP="00621155">
      <w:pPr>
        <w:pStyle w:val="BodyTextIndent3"/>
        <w:tabs>
          <w:tab w:val="clear" w:pos="1440"/>
          <w:tab w:val="left" w:pos="720"/>
        </w:tabs>
        <w:spacing w:after="120"/>
      </w:pPr>
      <w:r>
        <w:t>21.</w:t>
      </w:r>
      <w:r>
        <w:tab/>
        <w:t>a.</w:t>
      </w:r>
      <w:r>
        <w:tab/>
        <w:t>Using the Security Market Line, we find the cost of capital:</w:t>
      </w:r>
    </w:p>
    <w:p w:rsidR="00621155" w:rsidRDefault="00621155" w:rsidP="00621155">
      <w:pPr>
        <w:pStyle w:val="BodyTextIndent3"/>
        <w:tabs>
          <w:tab w:val="clear" w:pos="720"/>
          <w:tab w:val="clear" w:pos="1440"/>
        </w:tabs>
        <w:spacing w:after="120"/>
        <w:ind w:left="2160" w:firstLine="0"/>
      </w:pPr>
      <w:r>
        <w:t xml:space="preserve">r = 0.07 + [1.5 </w:t>
      </w:r>
      <w:r>
        <w:sym w:font="Symbol" w:char="F0B4"/>
      </w:r>
      <w:r>
        <w:t xml:space="preserve"> (0.16 </w:t>
      </w:r>
      <w:r>
        <w:rPr>
          <w:rFonts w:cs="Arial"/>
        </w:rPr>
        <w:t>–</w:t>
      </w:r>
      <w:r>
        <w:t xml:space="preserve"> 0.07)] = 0.205 = 20.5%</w:t>
      </w:r>
    </w:p>
    <w:p w:rsidR="00621155" w:rsidRDefault="00621155" w:rsidP="00621155">
      <w:pPr>
        <w:pStyle w:val="BodyTextIndent3"/>
        <w:tabs>
          <w:tab w:val="clear" w:pos="720"/>
          <w:tab w:val="clear" w:pos="1440"/>
        </w:tabs>
        <w:ind w:firstLine="0"/>
      </w:pPr>
      <w:r>
        <w:t>Therefore:</w:t>
      </w:r>
    </w:p>
    <w:p w:rsidR="00621155" w:rsidRDefault="00621155" w:rsidP="00621155">
      <w:pPr>
        <w:pStyle w:val="BodyTextIndent3"/>
        <w:tabs>
          <w:tab w:val="clear" w:pos="720"/>
          <w:tab w:val="clear" w:pos="1440"/>
        </w:tabs>
        <w:ind w:left="0" w:firstLine="0"/>
      </w:pPr>
      <w:r>
        <w:rPr>
          <w:noProof/>
        </w:rPr>
        <w:pict>
          <v:shape id="_x0000_s1034" type="#_x0000_t75" style="position:absolute;margin-left:115.2pt;margin-top:3pt;width:213pt;height:31pt;z-index:251668480" o:allowincell="f">
            <v:imagedata r:id="rId20" o:title=""/>
          </v:shape>
          <o:OLEObject Type="Embed" ProgID="Equation.3" ShapeID="_x0000_s1034" DrawAspect="Content" ObjectID="_1355990450" r:id="rId21"/>
        </w:pict>
      </w:r>
    </w:p>
    <w:p w:rsidR="00621155" w:rsidRDefault="00621155" w:rsidP="00621155">
      <w:pPr>
        <w:pStyle w:val="BodyTextIndent3"/>
        <w:tabs>
          <w:tab w:val="clear" w:pos="720"/>
          <w:tab w:val="clear" w:pos="1440"/>
        </w:tabs>
        <w:ind w:left="0" w:firstLine="0"/>
      </w:pPr>
      <w:r>
        <w:br w:type="page"/>
      </w:r>
    </w:p>
    <w:tbl>
      <w:tblPr>
        <w:tblW w:w="0" w:type="auto"/>
        <w:tblInd w:w="720" w:type="dxa"/>
        <w:tblBorders>
          <w:top w:val="nil"/>
          <w:left w:val="nil"/>
          <w:bottom w:val="nil"/>
          <w:right w:val="nil"/>
          <w:insideH w:val="nil"/>
          <w:insideV w:val="nil"/>
        </w:tblBorders>
        <w:tblLayout w:type="fixed"/>
        <w:tblCellMar>
          <w:left w:w="0" w:type="dxa"/>
          <w:right w:w="0" w:type="dxa"/>
        </w:tblCellMar>
        <w:tblLook w:val="00BE"/>
      </w:tblPr>
      <w:tblGrid>
        <w:gridCol w:w="720"/>
        <w:gridCol w:w="900"/>
        <w:gridCol w:w="2070"/>
        <w:gridCol w:w="1044"/>
      </w:tblGrid>
      <w:tr w:rsidR="00621155" w:rsidTr="00205DBB">
        <w:tblPrEx>
          <w:tblCellMar>
            <w:top w:w="0" w:type="dxa"/>
            <w:left w:w="0" w:type="dxa"/>
            <w:bottom w:w="0" w:type="dxa"/>
            <w:right w:w="0" w:type="dxa"/>
          </w:tblCellMar>
        </w:tblPrEx>
        <w:tc>
          <w:tcPr>
            <w:tcW w:w="720" w:type="dxa"/>
          </w:tcPr>
          <w:p w:rsidR="00621155" w:rsidRDefault="00621155" w:rsidP="00205DBB">
            <w:pPr>
              <w:pStyle w:val="BodyTextIndent3"/>
              <w:tabs>
                <w:tab w:val="clear" w:pos="720"/>
                <w:tab w:val="clear" w:pos="1440"/>
              </w:tabs>
              <w:spacing w:after="80"/>
              <w:ind w:left="0" w:firstLine="0"/>
            </w:pPr>
            <w:r>
              <w:lastRenderedPageBreak/>
              <w:t>b.</w:t>
            </w:r>
          </w:p>
        </w:tc>
        <w:tc>
          <w:tcPr>
            <w:tcW w:w="900" w:type="dxa"/>
          </w:tcPr>
          <w:p w:rsidR="00621155" w:rsidRDefault="00621155" w:rsidP="00205DBB">
            <w:pPr>
              <w:pStyle w:val="BodyTextIndent3"/>
              <w:tabs>
                <w:tab w:val="clear" w:pos="720"/>
                <w:tab w:val="clear" w:pos="1440"/>
              </w:tabs>
              <w:spacing w:after="80"/>
              <w:ind w:left="0" w:firstLine="0"/>
            </w:pPr>
            <w:r>
              <w:t>CEQ</w:t>
            </w:r>
            <w:r>
              <w:rPr>
                <w:vertAlign w:val="subscript"/>
              </w:rPr>
              <w:t>1</w:t>
            </w:r>
            <w:r>
              <w:t xml:space="preserve"> =</w:t>
            </w:r>
          </w:p>
        </w:tc>
        <w:tc>
          <w:tcPr>
            <w:tcW w:w="2070" w:type="dxa"/>
          </w:tcPr>
          <w:p w:rsidR="00621155" w:rsidRDefault="00621155" w:rsidP="00205DBB">
            <w:pPr>
              <w:pStyle w:val="BodyTextIndent3"/>
              <w:tabs>
                <w:tab w:val="clear" w:pos="720"/>
                <w:tab w:val="clear" w:pos="1440"/>
              </w:tabs>
              <w:spacing w:after="80"/>
              <w:ind w:left="0" w:firstLine="0"/>
            </w:pPr>
            <w:r>
              <w:t>40</w:t>
            </w:r>
            <w:r>
              <w:sym w:font="Symbol" w:char="F0B4"/>
            </w:r>
            <w:r>
              <w:t>(1.07/1.205) =</w:t>
            </w:r>
          </w:p>
        </w:tc>
        <w:tc>
          <w:tcPr>
            <w:tcW w:w="1044" w:type="dxa"/>
          </w:tcPr>
          <w:p w:rsidR="00621155" w:rsidRDefault="00621155" w:rsidP="00205DBB">
            <w:pPr>
              <w:pStyle w:val="BodyTextIndent3"/>
              <w:tabs>
                <w:tab w:val="clear" w:pos="720"/>
                <w:tab w:val="clear" w:pos="1440"/>
              </w:tabs>
              <w:spacing w:after="80"/>
              <w:ind w:left="0" w:firstLine="0"/>
            </w:pPr>
            <w:r>
              <w:t>35.52</w:t>
            </w:r>
          </w:p>
        </w:tc>
      </w:tr>
      <w:tr w:rsidR="00621155" w:rsidTr="00205DBB">
        <w:tblPrEx>
          <w:tblCellMar>
            <w:top w:w="0" w:type="dxa"/>
            <w:left w:w="0" w:type="dxa"/>
            <w:bottom w:w="0" w:type="dxa"/>
            <w:right w:w="0" w:type="dxa"/>
          </w:tblCellMar>
        </w:tblPrEx>
        <w:tc>
          <w:tcPr>
            <w:tcW w:w="720" w:type="dxa"/>
          </w:tcPr>
          <w:p w:rsidR="00621155" w:rsidRDefault="00621155" w:rsidP="00205DBB">
            <w:pPr>
              <w:pStyle w:val="BodyTextIndent3"/>
              <w:tabs>
                <w:tab w:val="clear" w:pos="720"/>
                <w:tab w:val="clear" w:pos="1440"/>
              </w:tabs>
              <w:spacing w:after="80"/>
              <w:ind w:left="0" w:firstLine="0"/>
            </w:pPr>
          </w:p>
        </w:tc>
        <w:tc>
          <w:tcPr>
            <w:tcW w:w="900" w:type="dxa"/>
          </w:tcPr>
          <w:p w:rsidR="00621155" w:rsidRDefault="00621155" w:rsidP="00205DBB">
            <w:pPr>
              <w:pStyle w:val="BodyTextIndent3"/>
              <w:tabs>
                <w:tab w:val="clear" w:pos="720"/>
                <w:tab w:val="clear" w:pos="1440"/>
              </w:tabs>
              <w:spacing w:after="80"/>
              <w:ind w:left="0" w:firstLine="0"/>
            </w:pPr>
            <w:r>
              <w:t>CEQ</w:t>
            </w:r>
            <w:r>
              <w:rPr>
                <w:vertAlign w:val="subscript"/>
              </w:rPr>
              <w:t>2</w:t>
            </w:r>
            <w:r>
              <w:t xml:space="preserve"> =</w:t>
            </w:r>
          </w:p>
        </w:tc>
        <w:tc>
          <w:tcPr>
            <w:tcW w:w="2070" w:type="dxa"/>
          </w:tcPr>
          <w:p w:rsidR="00621155" w:rsidRDefault="00621155" w:rsidP="00205DBB">
            <w:pPr>
              <w:pStyle w:val="BodyTextIndent3"/>
              <w:tabs>
                <w:tab w:val="clear" w:pos="720"/>
                <w:tab w:val="clear" w:pos="1440"/>
              </w:tabs>
              <w:spacing w:after="80"/>
              <w:ind w:left="0" w:firstLine="0"/>
            </w:pPr>
            <w:r>
              <w:t>60</w:t>
            </w:r>
            <w:r>
              <w:sym w:font="Symbol" w:char="F0B4"/>
            </w:r>
            <w:r>
              <w:t>(1.07/1.205)</w:t>
            </w:r>
            <w:r>
              <w:rPr>
                <w:vertAlign w:val="superscript"/>
              </w:rPr>
              <w:t>2</w:t>
            </w:r>
            <w:r>
              <w:t xml:space="preserve"> =</w:t>
            </w:r>
          </w:p>
        </w:tc>
        <w:tc>
          <w:tcPr>
            <w:tcW w:w="1044" w:type="dxa"/>
          </w:tcPr>
          <w:p w:rsidR="00621155" w:rsidRDefault="00621155" w:rsidP="00205DBB">
            <w:pPr>
              <w:pStyle w:val="BodyTextIndent3"/>
              <w:tabs>
                <w:tab w:val="clear" w:pos="720"/>
                <w:tab w:val="clear" w:pos="1440"/>
              </w:tabs>
              <w:spacing w:after="80"/>
              <w:ind w:left="0" w:firstLine="0"/>
            </w:pPr>
            <w:r>
              <w:t>47.31</w:t>
            </w:r>
          </w:p>
        </w:tc>
      </w:tr>
      <w:tr w:rsidR="00621155" w:rsidTr="00205DBB">
        <w:tblPrEx>
          <w:tblCellMar>
            <w:top w:w="0" w:type="dxa"/>
            <w:left w:w="0" w:type="dxa"/>
            <w:bottom w:w="0" w:type="dxa"/>
            <w:right w:w="0" w:type="dxa"/>
          </w:tblCellMar>
        </w:tblPrEx>
        <w:tc>
          <w:tcPr>
            <w:tcW w:w="720" w:type="dxa"/>
          </w:tcPr>
          <w:p w:rsidR="00621155" w:rsidRDefault="00621155" w:rsidP="00205DBB">
            <w:pPr>
              <w:pStyle w:val="BodyTextIndent3"/>
              <w:tabs>
                <w:tab w:val="clear" w:pos="720"/>
                <w:tab w:val="clear" w:pos="1440"/>
              </w:tabs>
              <w:spacing w:after="80"/>
              <w:ind w:left="0" w:firstLine="0"/>
            </w:pPr>
          </w:p>
        </w:tc>
        <w:tc>
          <w:tcPr>
            <w:tcW w:w="900" w:type="dxa"/>
          </w:tcPr>
          <w:p w:rsidR="00621155" w:rsidRDefault="00621155" w:rsidP="00205DBB">
            <w:pPr>
              <w:pStyle w:val="BodyTextIndent3"/>
              <w:tabs>
                <w:tab w:val="clear" w:pos="720"/>
                <w:tab w:val="clear" w:pos="1440"/>
              </w:tabs>
              <w:spacing w:after="80"/>
              <w:ind w:left="0" w:firstLine="0"/>
            </w:pPr>
            <w:r>
              <w:t>CEQ</w:t>
            </w:r>
            <w:r>
              <w:rPr>
                <w:vertAlign w:val="subscript"/>
              </w:rPr>
              <w:t>3</w:t>
            </w:r>
            <w:r>
              <w:t xml:space="preserve"> =</w:t>
            </w:r>
          </w:p>
        </w:tc>
        <w:tc>
          <w:tcPr>
            <w:tcW w:w="2070" w:type="dxa"/>
          </w:tcPr>
          <w:p w:rsidR="00621155" w:rsidRDefault="00621155" w:rsidP="00205DBB">
            <w:pPr>
              <w:pStyle w:val="BodyTextIndent3"/>
              <w:tabs>
                <w:tab w:val="clear" w:pos="720"/>
                <w:tab w:val="clear" w:pos="1440"/>
              </w:tabs>
              <w:spacing w:after="80"/>
              <w:ind w:left="0" w:firstLine="0"/>
            </w:pPr>
            <w:r>
              <w:t>50</w:t>
            </w:r>
            <w:r>
              <w:sym w:font="Symbol" w:char="F0B4"/>
            </w:r>
            <w:r>
              <w:t>(1.07/1.205)</w:t>
            </w:r>
            <w:r>
              <w:rPr>
                <w:vertAlign w:val="superscript"/>
              </w:rPr>
              <w:t>3</w:t>
            </w:r>
            <w:r>
              <w:t xml:space="preserve"> =</w:t>
            </w:r>
          </w:p>
        </w:tc>
        <w:tc>
          <w:tcPr>
            <w:tcW w:w="1044" w:type="dxa"/>
          </w:tcPr>
          <w:p w:rsidR="00621155" w:rsidRDefault="00621155" w:rsidP="00205DBB">
            <w:pPr>
              <w:pStyle w:val="BodyTextIndent3"/>
              <w:tabs>
                <w:tab w:val="clear" w:pos="720"/>
                <w:tab w:val="clear" w:pos="1440"/>
              </w:tabs>
              <w:spacing w:after="80"/>
              <w:ind w:left="0" w:firstLine="0"/>
            </w:pPr>
            <w:r>
              <w:t>35.01</w:t>
            </w:r>
          </w:p>
        </w:tc>
      </w:tr>
    </w:tbl>
    <w:p w:rsidR="00621155" w:rsidRDefault="00621155" w:rsidP="00621155">
      <w:pPr>
        <w:pStyle w:val="BodyTextIndent3"/>
        <w:tabs>
          <w:tab w:val="clear" w:pos="720"/>
          <w:tab w:val="clear" w:pos="1440"/>
        </w:tabs>
        <w:spacing w:line="180" w:lineRule="exact"/>
        <w:ind w:left="0" w:firstLine="0"/>
      </w:pPr>
    </w:p>
    <w:tbl>
      <w:tblPr>
        <w:tblW w:w="0" w:type="auto"/>
        <w:tblInd w:w="720" w:type="dxa"/>
        <w:tblBorders>
          <w:top w:val="nil"/>
          <w:left w:val="nil"/>
          <w:bottom w:val="nil"/>
          <w:right w:val="nil"/>
          <w:insideH w:val="nil"/>
          <w:insideV w:val="nil"/>
        </w:tblBorders>
        <w:tblLayout w:type="fixed"/>
        <w:tblCellMar>
          <w:left w:w="0" w:type="dxa"/>
          <w:right w:w="0" w:type="dxa"/>
        </w:tblCellMar>
        <w:tblLook w:val="00BE"/>
      </w:tblPr>
      <w:tblGrid>
        <w:gridCol w:w="720"/>
        <w:gridCol w:w="540"/>
        <w:gridCol w:w="1260"/>
        <w:gridCol w:w="1422"/>
      </w:tblGrid>
      <w:tr w:rsidR="00621155" w:rsidTr="00205DBB">
        <w:tblPrEx>
          <w:tblCellMar>
            <w:top w:w="0" w:type="dxa"/>
            <w:left w:w="0" w:type="dxa"/>
            <w:bottom w:w="0" w:type="dxa"/>
            <w:right w:w="0" w:type="dxa"/>
          </w:tblCellMar>
        </w:tblPrEx>
        <w:tc>
          <w:tcPr>
            <w:tcW w:w="720" w:type="dxa"/>
          </w:tcPr>
          <w:p w:rsidR="00621155" w:rsidRDefault="00621155" w:rsidP="00205DBB">
            <w:pPr>
              <w:pStyle w:val="BodyTextIndent3"/>
              <w:tabs>
                <w:tab w:val="clear" w:pos="720"/>
                <w:tab w:val="clear" w:pos="1440"/>
              </w:tabs>
              <w:spacing w:after="80"/>
              <w:ind w:left="0" w:firstLine="0"/>
            </w:pPr>
            <w:r>
              <w:t>c.</w:t>
            </w:r>
          </w:p>
        </w:tc>
        <w:tc>
          <w:tcPr>
            <w:tcW w:w="540" w:type="dxa"/>
          </w:tcPr>
          <w:p w:rsidR="00621155" w:rsidRDefault="00621155" w:rsidP="00205DBB">
            <w:pPr>
              <w:pStyle w:val="BodyTextIndent3"/>
              <w:tabs>
                <w:tab w:val="clear" w:pos="720"/>
                <w:tab w:val="clear" w:pos="1440"/>
              </w:tabs>
              <w:spacing w:after="80"/>
              <w:ind w:left="0" w:firstLine="0"/>
            </w:pPr>
            <w:r>
              <w:t>a</w:t>
            </w:r>
            <w:r>
              <w:rPr>
                <w:vertAlign w:val="subscript"/>
              </w:rPr>
              <w:t>1</w:t>
            </w:r>
            <w:r>
              <w:t xml:space="preserve"> =</w:t>
            </w:r>
          </w:p>
        </w:tc>
        <w:tc>
          <w:tcPr>
            <w:tcW w:w="1260" w:type="dxa"/>
          </w:tcPr>
          <w:p w:rsidR="00621155" w:rsidRDefault="00621155" w:rsidP="00205DBB">
            <w:pPr>
              <w:pStyle w:val="BodyTextIndent3"/>
              <w:tabs>
                <w:tab w:val="clear" w:pos="720"/>
                <w:tab w:val="clear" w:pos="1440"/>
              </w:tabs>
              <w:spacing w:after="80"/>
              <w:ind w:left="0" w:firstLine="0"/>
            </w:pPr>
            <w:r>
              <w:t>35.52/40 =</w:t>
            </w:r>
          </w:p>
        </w:tc>
        <w:tc>
          <w:tcPr>
            <w:tcW w:w="1422" w:type="dxa"/>
          </w:tcPr>
          <w:p w:rsidR="00621155" w:rsidRDefault="00621155" w:rsidP="00205DBB">
            <w:pPr>
              <w:pStyle w:val="BodyTextIndent3"/>
              <w:tabs>
                <w:tab w:val="clear" w:pos="720"/>
                <w:tab w:val="clear" w:pos="1440"/>
              </w:tabs>
              <w:spacing w:after="80"/>
              <w:ind w:left="0" w:firstLine="0"/>
            </w:pPr>
            <w:r>
              <w:t>0.8880</w:t>
            </w:r>
          </w:p>
        </w:tc>
      </w:tr>
      <w:tr w:rsidR="00621155" w:rsidTr="00205DBB">
        <w:tblPrEx>
          <w:tblCellMar>
            <w:top w:w="0" w:type="dxa"/>
            <w:left w:w="0" w:type="dxa"/>
            <w:bottom w:w="0" w:type="dxa"/>
            <w:right w:w="0" w:type="dxa"/>
          </w:tblCellMar>
        </w:tblPrEx>
        <w:tc>
          <w:tcPr>
            <w:tcW w:w="720" w:type="dxa"/>
          </w:tcPr>
          <w:p w:rsidR="00621155" w:rsidRDefault="00621155" w:rsidP="00205DBB">
            <w:pPr>
              <w:pStyle w:val="BodyTextIndent3"/>
              <w:tabs>
                <w:tab w:val="clear" w:pos="720"/>
                <w:tab w:val="clear" w:pos="1440"/>
              </w:tabs>
              <w:spacing w:after="80"/>
              <w:ind w:left="0" w:firstLine="0"/>
            </w:pPr>
          </w:p>
        </w:tc>
        <w:tc>
          <w:tcPr>
            <w:tcW w:w="540" w:type="dxa"/>
          </w:tcPr>
          <w:p w:rsidR="00621155" w:rsidRDefault="00621155" w:rsidP="00205DBB">
            <w:pPr>
              <w:pStyle w:val="BodyTextIndent3"/>
              <w:tabs>
                <w:tab w:val="clear" w:pos="720"/>
                <w:tab w:val="clear" w:pos="1440"/>
              </w:tabs>
              <w:spacing w:after="80"/>
              <w:ind w:left="0" w:firstLine="0"/>
            </w:pPr>
            <w:r>
              <w:t>a</w:t>
            </w:r>
            <w:r>
              <w:rPr>
                <w:vertAlign w:val="subscript"/>
              </w:rPr>
              <w:t>2</w:t>
            </w:r>
            <w:r>
              <w:t xml:space="preserve"> =</w:t>
            </w:r>
          </w:p>
        </w:tc>
        <w:tc>
          <w:tcPr>
            <w:tcW w:w="1260" w:type="dxa"/>
          </w:tcPr>
          <w:p w:rsidR="00621155" w:rsidRDefault="00621155" w:rsidP="00205DBB">
            <w:pPr>
              <w:pStyle w:val="BodyTextIndent3"/>
              <w:tabs>
                <w:tab w:val="clear" w:pos="720"/>
                <w:tab w:val="clear" w:pos="1440"/>
              </w:tabs>
              <w:spacing w:after="80"/>
              <w:ind w:left="0" w:firstLine="0"/>
            </w:pPr>
            <w:r>
              <w:t>47.31/60 =</w:t>
            </w:r>
          </w:p>
        </w:tc>
        <w:tc>
          <w:tcPr>
            <w:tcW w:w="1422" w:type="dxa"/>
          </w:tcPr>
          <w:p w:rsidR="00621155" w:rsidRDefault="00621155" w:rsidP="00205DBB">
            <w:pPr>
              <w:pStyle w:val="BodyTextIndent3"/>
              <w:tabs>
                <w:tab w:val="clear" w:pos="720"/>
                <w:tab w:val="clear" w:pos="1440"/>
              </w:tabs>
              <w:spacing w:after="80"/>
              <w:ind w:left="0" w:firstLine="0"/>
            </w:pPr>
            <w:r>
              <w:t>0.7885</w:t>
            </w:r>
          </w:p>
        </w:tc>
      </w:tr>
      <w:tr w:rsidR="00621155" w:rsidTr="00205DBB">
        <w:tblPrEx>
          <w:tblCellMar>
            <w:top w:w="0" w:type="dxa"/>
            <w:left w:w="0" w:type="dxa"/>
            <w:bottom w:w="0" w:type="dxa"/>
            <w:right w:w="0" w:type="dxa"/>
          </w:tblCellMar>
        </w:tblPrEx>
        <w:tc>
          <w:tcPr>
            <w:tcW w:w="720" w:type="dxa"/>
          </w:tcPr>
          <w:p w:rsidR="00621155" w:rsidRDefault="00621155" w:rsidP="00205DBB">
            <w:pPr>
              <w:pStyle w:val="BodyTextIndent3"/>
              <w:tabs>
                <w:tab w:val="clear" w:pos="720"/>
                <w:tab w:val="clear" w:pos="1440"/>
              </w:tabs>
              <w:spacing w:after="80"/>
              <w:ind w:left="0" w:firstLine="0"/>
            </w:pPr>
          </w:p>
        </w:tc>
        <w:tc>
          <w:tcPr>
            <w:tcW w:w="540" w:type="dxa"/>
          </w:tcPr>
          <w:p w:rsidR="00621155" w:rsidRDefault="00621155" w:rsidP="00205DBB">
            <w:pPr>
              <w:pStyle w:val="BodyTextIndent3"/>
              <w:tabs>
                <w:tab w:val="clear" w:pos="720"/>
                <w:tab w:val="clear" w:pos="1440"/>
              </w:tabs>
              <w:spacing w:after="80"/>
              <w:ind w:left="0" w:firstLine="0"/>
            </w:pPr>
            <w:r>
              <w:t>a</w:t>
            </w:r>
            <w:r>
              <w:rPr>
                <w:vertAlign w:val="subscript"/>
              </w:rPr>
              <w:t>3</w:t>
            </w:r>
            <w:r>
              <w:t xml:space="preserve"> =</w:t>
            </w:r>
          </w:p>
        </w:tc>
        <w:tc>
          <w:tcPr>
            <w:tcW w:w="1260" w:type="dxa"/>
          </w:tcPr>
          <w:p w:rsidR="00621155" w:rsidRDefault="00621155" w:rsidP="00205DBB">
            <w:pPr>
              <w:pStyle w:val="BodyTextIndent3"/>
              <w:tabs>
                <w:tab w:val="clear" w:pos="720"/>
                <w:tab w:val="clear" w:pos="1440"/>
              </w:tabs>
              <w:spacing w:after="80"/>
              <w:ind w:left="0" w:firstLine="0"/>
            </w:pPr>
            <w:r>
              <w:t>35.01/50 =</w:t>
            </w:r>
          </w:p>
        </w:tc>
        <w:tc>
          <w:tcPr>
            <w:tcW w:w="1422" w:type="dxa"/>
          </w:tcPr>
          <w:p w:rsidR="00621155" w:rsidRDefault="00621155" w:rsidP="00205DBB">
            <w:pPr>
              <w:pStyle w:val="BodyTextIndent3"/>
              <w:tabs>
                <w:tab w:val="clear" w:pos="720"/>
                <w:tab w:val="clear" w:pos="1440"/>
              </w:tabs>
              <w:spacing w:after="80"/>
              <w:ind w:left="0" w:firstLine="0"/>
            </w:pPr>
            <w:r>
              <w:t>0.7002</w:t>
            </w:r>
          </w:p>
        </w:tc>
      </w:tr>
    </w:tbl>
    <w:p w:rsidR="00621155" w:rsidRDefault="00621155" w:rsidP="00621155">
      <w:pPr>
        <w:pStyle w:val="BodyTextIndent3"/>
        <w:tabs>
          <w:tab w:val="clear" w:pos="720"/>
          <w:tab w:val="clear" w:pos="1440"/>
        </w:tabs>
        <w:spacing w:line="200" w:lineRule="exact"/>
        <w:ind w:left="0" w:firstLine="0"/>
      </w:pPr>
    </w:p>
    <w:p w:rsidR="00621155" w:rsidRDefault="00621155" w:rsidP="00621155">
      <w:pPr>
        <w:pStyle w:val="BodyTextIndent3"/>
        <w:tabs>
          <w:tab w:val="clear" w:pos="720"/>
          <w:tab w:val="clear" w:pos="1440"/>
        </w:tabs>
        <w:ind w:right="180" w:hanging="720"/>
      </w:pPr>
      <w:r>
        <w:t>d.</w:t>
      </w:r>
      <w:r>
        <w:tab/>
        <w:t>Using a constant risk-adjusted discount rate is equivalent to assuming that a</w:t>
      </w:r>
      <w:r>
        <w:rPr>
          <w:vertAlign w:val="subscript"/>
        </w:rPr>
        <w:t>t</w:t>
      </w:r>
      <w:r>
        <w:t xml:space="preserve"> decreases at a constant compounded rate.</w:t>
      </w:r>
    </w:p>
    <w:p w:rsidR="00621155" w:rsidRDefault="00621155" w:rsidP="00621155">
      <w:pPr>
        <w:pStyle w:val="BodyTextIndent3"/>
        <w:tabs>
          <w:tab w:val="clear" w:pos="720"/>
          <w:tab w:val="clear" w:pos="1440"/>
        </w:tabs>
        <w:spacing w:line="200" w:lineRule="exact"/>
        <w:ind w:left="0" w:firstLine="0"/>
      </w:pPr>
    </w:p>
    <w:p w:rsidR="00621155" w:rsidRDefault="00621155" w:rsidP="00621155">
      <w:pPr>
        <w:pStyle w:val="BodyTextIndent3"/>
        <w:tabs>
          <w:tab w:val="clear" w:pos="720"/>
          <w:tab w:val="clear" w:pos="1440"/>
        </w:tabs>
        <w:spacing w:line="200" w:lineRule="exact"/>
        <w:ind w:left="0" w:firstLine="0"/>
      </w:pPr>
    </w:p>
    <w:p w:rsidR="00621155" w:rsidRDefault="00621155" w:rsidP="00621155">
      <w:pPr>
        <w:pStyle w:val="BodyTextIndent3"/>
        <w:tabs>
          <w:tab w:val="clear" w:pos="720"/>
          <w:tab w:val="clear" w:pos="1440"/>
        </w:tabs>
        <w:ind w:left="720" w:hanging="720"/>
      </w:pPr>
      <w:r>
        <w:t>22.</w:t>
      </w:r>
      <w:r>
        <w:tab/>
        <w:t>At t = 2, there are two possible values for the project’s NPV:</w:t>
      </w:r>
    </w:p>
    <w:p w:rsidR="00621155" w:rsidRDefault="00621155" w:rsidP="00621155">
      <w:pPr>
        <w:pStyle w:val="BodyTextIndent3"/>
        <w:tabs>
          <w:tab w:val="clear" w:pos="720"/>
          <w:tab w:val="clear" w:pos="1440"/>
        </w:tabs>
        <w:ind w:left="0" w:firstLine="0"/>
      </w:pPr>
    </w:p>
    <w:p w:rsidR="00621155" w:rsidRDefault="00621155" w:rsidP="00621155">
      <w:pPr>
        <w:pStyle w:val="BodyTextIndent3"/>
        <w:tabs>
          <w:tab w:val="clear" w:pos="720"/>
          <w:tab w:val="clear" w:pos="1440"/>
        </w:tabs>
        <w:ind w:left="0" w:firstLine="0"/>
      </w:pPr>
      <w:r>
        <w:rPr>
          <w:noProof/>
        </w:rPr>
        <w:pict>
          <v:shape id="_x0000_s1035" type="#_x0000_t75" style="position:absolute;margin-left:79.2pt;margin-top:.05pt;width:180pt;height:17pt;z-index:251669504" o:allowincell="f">
            <v:imagedata r:id="rId22" o:title=""/>
          </v:shape>
          <o:OLEObject Type="Embed" ProgID="Equation.3" ShapeID="_x0000_s1035" DrawAspect="Content" ObjectID="_1355990451" r:id="rId23"/>
        </w:pict>
      </w:r>
    </w:p>
    <w:p w:rsidR="00621155" w:rsidRDefault="00621155" w:rsidP="00621155">
      <w:pPr>
        <w:pStyle w:val="BodyTextIndent3"/>
        <w:tabs>
          <w:tab w:val="clear" w:pos="720"/>
          <w:tab w:val="clear" w:pos="1440"/>
        </w:tabs>
        <w:ind w:left="0" w:firstLine="0"/>
      </w:pPr>
      <w:r>
        <w:rPr>
          <w:noProof/>
        </w:rPr>
        <w:pict>
          <v:shape id="_x0000_s1036" type="#_x0000_t75" style="position:absolute;margin-left:79.2pt;margin-top:9.45pt;width:337pt;height:31pt;z-index:251670528" o:allowincell="f">
            <v:imagedata r:id="rId24" o:title=""/>
          </v:shape>
          <o:OLEObject Type="Embed" ProgID="Equation.3" ShapeID="_x0000_s1036" DrawAspect="Content" ObjectID="_1355990452" r:id="rId25"/>
        </w:pict>
      </w:r>
    </w:p>
    <w:p w:rsidR="00621155" w:rsidRDefault="00621155" w:rsidP="00621155">
      <w:pPr>
        <w:pStyle w:val="BodyTextIndent3"/>
        <w:tabs>
          <w:tab w:val="clear" w:pos="720"/>
          <w:tab w:val="clear" w:pos="1440"/>
        </w:tabs>
        <w:ind w:left="0" w:firstLine="0"/>
      </w:pPr>
    </w:p>
    <w:p w:rsidR="00621155" w:rsidRDefault="00621155" w:rsidP="00621155">
      <w:pPr>
        <w:pStyle w:val="BodyTextIndent3"/>
        <w:tabs>
          <w:tab w:val="clear" w:pos="720"/>
          <w:tab w:val="clear" w:pos="1440"/>
        </w:tabs>
        <w:ind w:left="0" w:firstLine="0"/>
      </w:pPr>
    </w:p>
    <w:p w:rsidR="00621155" w:rsidRDefault="00621155" w:rsidP="00621155">
      <w:pPr>
        <w:pStyle w:val="BodyTextIndent3"/>
        <w:tabs>
          <w:tab w:val="clear" w:pos="720"/>
          <w:tab w:val="clear" w:pos="1440"/>
        </w:tabs>
        <w:ind w:left="720" w:firstLine="0"/>
      </w:pPr>
      <w:r>
        <w:t>Therefore, at t = 0:</w:t>
      </w:r>
    </w:p>
    <w:p w:rsidR="00621155" w:rsidRDefault="00621155" w:rsidP="00621155">
      <w:pPr>
        <w:pStyle w:val="BodyTextIndent3"/>
        <w:tabs>
          <w:tab w:val="clear" w:pos="720"/>
          <w:tab w:val="clear" w:pos="1440"/>
        </w:tabs>
        <w:ind w:left="0" w:firstLine="0"/>
      </w:pPr>
      <w:r>
        <w:rPr>
          <w:noProof/>
        </w:rPr>
        <w:pict>
          <v:shape id="_x0000_s1037" type="#_x0000_t75" style="position:absolute;margin-left:79.2pt;margin-top:10.65pt;width:326pt;height:31pt;z-index:251671552" o:allowincell="f">
            <v:imagedata r:id="rId26" o:title=""/>
          </v:shape>
          <o:OLEObject Type="Embed" ProgID="Equation.3" ShapeID="_x0000_s1037" DrawAspect="Content" ObjectID="_1355990453" r:id="rId27"/>
        </w:pict>
      </w:r>
    </w:p>
    <w:p w:rsidR="00621155" w:rsidRDefault="00621155" w:rsidP="00621155">
      <w:pPr>
        <w:pStyle w:val="BodyTextIndent3"/>
        <w:tabs>
          <w:tab w:val="clear" w:pos="720"/>
          <w:tab w:val="clear" w:pos="1440"/>
        </w:tabs>
        <w:ind w:left="0" w:firstLine="0"/>
      </w:pPr>
    </w:p>
    <w:p w:rsidR="00621155" w:rsidRDefault="00621155" w:rsidP="00621155">
      <w:pPr>
        <w:pStyle w:val="BodyTextIndent3"/>
        <w:tabs>
          <w:tab w:val="clear" w:pos="720"/>
          <w:tab w:val="clear" w:pos="1440"/>
        </w:tabs>
        <w:ind w:left="0" w:firstLine="0"/>
      </w:pPr>
    </w:p>
    <w:p w:rsidR="00621155" w:rsidRDefault="00621155" w:rsidP="00621155">
      <w:pPr>
        <w:pStyle w:val="BodyTextIndent3"/>
        <w:tabs>
          <w:tab w:val="clear" w:pos="720"/>
          <w:tab w:val="clear" w:pos="1440"/>
        </w:tabs>
        <w:ind w:left="0" w:firstLine="0"/>
      </w:pPr>
    </w:p>
    <w:p w:rsidR="00621155" w:rsidRDefault="00621155" w:rsidP="00621155">
      <w:pPr>
        <w:pStyle w:val="BodyTextIndent3"/>
        <w:tabs>
          <w:tab w:val="clear" w:pos="720"/>
          <w:tab w:val="clear" w:pos="1440"/>
        </w:tabs>
        <w:ind w:left="0" w:firstLine="0"/>
      </w:pPr>
    </w:p>
    <w:p w:rsidR="00621155" w:rsidRDefault="00621155" w:rsidP="00621155">
      <w:pPr>
        <w:pStyle w:val="BodyTextIndent3"/>
        <w:tabs>
          <w:tab w:val="clear" w:pos="720"/>
          <w:tab w:val="clear" w:pos="1440"/>
        </w:tabs>
        <w:spacing w:after="120"/>
        <w:ind w:left="720" w:hanging="720"/>
      </w:pPr>
      <w:r>
        <w:t>23.</w:t>
      </w:r>
      <w:r>
        <w:tab/>
        <w:t xml:space="preserve">It is correct that, for a high beta project, you should discount </w:t>
      </w:r>
      <w:r>
        <w:rPr>
          <w:i/>
        </w:rPr>
        <w:t>all</w:t>
      </w:r>
      <w:r>
        <w:t xml:space="preserve"> cash flows at a high rate.  Thus, the higher the risk of the cash outflows, the less you should worry about them because, the higher the discount rate, the closer the present value of these cash flows is to zero.  This result does make sense.  It is better to have a series of payments that are high when the market is booming and low when it is slumping (i.e., a high beta) than the reverse.</w:t>
      </w:r>
    </w:p>
    <w:p w:rsidR="00621155" w:rsidRDefault="00621155" w:rsidP="00621155">
      <w:pPr>
        <w:pStyle w:val="BodyTextIndent3"/>
        <w:tabs>
          <w:tab w:val="clear" w:pos="720"/>
          <w:tab w:val="clear" w:pos="1440"/>
        </w:tabs>
        <w:ind w:left="720" w:firstLine="0"/>
      </w:pPr>
      <w:r>
        <w:t>The beta of an investment is independent of the sign of the cash flows.  If an investment has a high beta for anyone paying out the cash flows, it must have a high beta for anyone receiving them.  If the sign of the cash flows affected the discount rate, each asset would have one value for the buyer and one for the seller, which is clearly an impossible situation.</w:t>
      </w:r>
    </w:p>
    <w:p w:rsidR="00621155" w:rsidRDefault="00621155" w:rsidP="00621155">
      <w:pPr>
        <w:pStyle w:val="BodyTextIndent3"/>
        <w:tabs>
          <w:tab w:val="clear" w:pos="720"/>
          <w:tab w:val="clear" w:pos="1440"/>
        </w:tabs>
        <w:ind w:left="0" w:firstLine="0"/>
      </w:pPr>
    </w:p>
    <w:p w:rsidR="00621155" w:rsidRDefault="00621155" w:rsidP="00621155">
      <w:pPr>
        <w:pStyle w:val="BodyTextIndent3"/>
        <w:tabs>
          <w:tab w:val="clear" w:pos="720"/>
          <w:tab w:val="clear" w:pos="1440"/>
        </w:tabs>
        <w:ind w:left="0" w:firstLine="0"/>
      </w:pPr>
    </w:p>
    <w:p w:rsidR="00621155" w:rsidRDefault="00621155" w:rsidP="00621155">
      <w:pPr>
        <w:pStyle w:val="BodyTextIndent3"/>
        <w:tabs>
          <w:tab w:val="clear" w:pos="1440"/>
        </w:tabs>
        <w:spacing w:after="120"/>
        <w:ind w:right="86"/>
      </w:pPr>
      <w:r>
        <w:t>24.</w:t>
      </w:r>
      <w:r>
        <w:tab/>
      </w:r>
      <w:proofErr w:type="gramStart"/>
      <w:r>
        <w:t>a</w:t>
      </w:r>
      <w:proofErr w:type="gramEnd"/>
      <w:r>
        <w:t>.</w:t>
      </w:r>
      <w:r>
        <w:tab/>
        <w:t>Since the risk of a dry hole is unlikely to be market-related, we can use the same discount rate as for producing wells.  Thus, using the Security Market Line:</w:t>
      </w:r>
    </w:p>
    <w:p w:rsidR="00621155" w:rsidRDefault="00621155" w:rsidP="00621155">
      <w:pPr>
        <w:pStyle w:val="BodyTextIndent3"/>
        <w:tabs>
          <w:tab w:val="clear" w:pos="720"/>
          <w:tab w:val="clear" w:pos="1440"/>
        </w:tabs>
        <w:spacing w:line="360" w:lineRule="auto"/>
        <w:ind w:left="2160" w:firstLine="0"/>
      </w:pPr>
      <w:proofErr w:type="spellStart"/>
      <w:proofErr w:type="gramStart"/>
      <w:r>
        <w:t>r</w:t>
      </w:r>
      <w:r>
        <w:rPr>
          <w:vertAlign w:val="subscript"/>
        </w:rPr>
        <w:t>nominal</w:t>
      </w:r>
      <w:proofErr w:type="spellEnd"/>
      <w:proofErr w:type="gramEnd"/>
      <w:r>
        <w:t xml:space="preserve"> = 0.06 + (0.9 </w:t>
      </w:r>
      <w:r>
        <w:sym w:font="Symbol" w:char="F0B4"/>
      </w:r>
      <w:r>
        <w:t xml:space="preserve"> 0.08) = 0.132 = 13.2%</w:t>
      </w:r>
    </w:p>
    <w:p w:rsidR="00621155" w:rsidRDefault="00621155" w:rsidP="00621155">
      <w:pPr>
        <w:pStyle w:val="BodyTextIndent3"/>
        <w:tabs>
          <w:tab w:val="clear" w:pos="720"/>
          <w:tab w:val="clear" w:pos="1440"/>
        </w:tabs>
        <w:spacing w:after="120"/>
        <w:ind w:firstLine="0"/>
      </w:pPr>
      <w:r>
        <w:t>We know that:</w:t>
      </w:r>
    </w:p>
    <w:p w:rsidR="00621155" w:rsidRDefault="00621155" w:rsidP="00621155">
      <w:pPr>
        <w:pStyle w:val="BodyTextIndent3"/>
        <w:tabs>
          <w:tab w:val="clear" w:pos="720"/>
          <w:tab w:val="clear" w:pos="1440"/>
        </w:tabs>
        <w:spacing w:line="360" w:lineRule="auto"/>
        <w:ind w:left="2160" w:firstLine="0"/>
      </w:pPr>
      <w:r>
        <w:br w:type="page"/>
      </w:r>
      <w:r>
        <w:lastRenderedPageBreak/>
        <w:t xml:space="preserve">(1 + </w:t>
      </w:r>
      <w:proofErr w:type="spellStart"/>
      <w:r>
        <w:t>r</w:t>
      </w:r>
      <w:r>
        <w:rPr>
          <w:vertAlign w:val="subscript"/>
        </w:rPr>
        <w:t>nominal</w:t>
      </w:r>
      <w:proofErr w:type="spellEnd"/>
      <w:r>
        <w:t xml:space="preserve">) = (1 + </w:t>
      </w:r>
      <w:proofErr w:type="spellStart"/>
      <w:r>
        <w:t>r</w:t>
      </w:r>
      <w:r>
        <w:rPr>
          <w:vertAlign w:val="subscript"/>
        </w:rPr>
        <w:t>real</w:t>
      </w:r>
      <w:proofErr w:type="spellEnd"/>
      <w:r>
        <w:t xml:space="preserve">) </w:t>
      </w:r>
      <w:r>
        <w:sym w:font="Symbol" w:char="F0B4"/>
      </w:r>
      <w:r>
        <w:t xml:space="preserve"> (1 + </w:t>
      </w:r>
      <w:proofErr w:type="spellStart"/>
      <w:r>
        <w:t>r</w:t>
      </w:r>
      <w:r>
        <w:rPr>
          <w:vertAlign w:val="subscript"/>
        </w:rPr>
        <w:t>inflation</w:t>
      </w:r>
      <w:proofErr w:type="spellEnd"/>
      <w:r>
        <w:t>)</w:t>
      </w:r>
    </w:p>
    <w:p w:rsidR="00621155" w:rsidRDefault="00621155" w:rsidP="00621155">
      <w:pPr>
        <w:pStyle w:val="BodyTextIndent3"/>
        <w:tabs>
          <w:tab w:val="clear" w:pos="720"/>
          <w:tab w:val="clear" w:pos="1440"/>
        </w:tabs>
        <w:spacing w:after="120"/>
        <w:ind w:firstLine="0"/>
      </w:pPr>
      <w:r>
        <w:t>Therefore:</w:t>
      </w:r>
    </w:p>
    <w:p w:rsidR="00621155" w:rsidRDefault="00621155" w:rsidP="00621155">
      <w:pPr>
        <w:pStyle w:val="BodyTextIndent3"/>
        <w:tabs>
          <w:tab w:val="clear" w:pos="720"/>
          <w:tab w:val="clear" w:pos="1440"/>
        </w:tabs>
        <w:ind w:left="2160" w:firstLine="0"/>
        <w:rPr>
          <w:noProof/>
        </w:rPr>
      </w:pPr>
      <w:r>
        <w:rPr>
          <w:noProof/>
          <w:position w:val="-24"/>
        </w:rPr>
        <w:object w:dxaOrig="3700" w:dyaOrig="620">
          <v:shape id="_x0000_i1033" type="#_x0000_t75" style="width:185.25pt;height:30.75pt" o:ole="" fillcolor="window">
            <v:imagedata r:id="rId28" o:title=""/>
          </v:shape>
          <o:OLEObject Type="Embed" ProgID="Equation.3" ShapeID="_x0000_i1033" DrawAspect="Content" ObjectID="_1355990449" r:id="rId29"/>
        </w:object>
      </w:r>
    </w:p>
    <w:p w:rsidR="00621155" w:rsidRDefault="00621155" w:rsidP="00621155">
      <w:pPr>
        <w:pStyle w:val="BodyTextIndent3"/>
        <w:tabs>
          <w:tab w:val="clear" w:pos="720"/>
          <w:tab w:val="clear" w:pos="1440"/>
        </w:tabs>
        <w:ind w:left="0" w:firstLine="0"/>
      </w:pPr>
    </w:p>
    <w:p w:rsidR="00621155" w:rsidRDefault="00621155" w:rsidP="00621155">
      <w:pPr>
        <w:pStyle w:val="BodyTextIndent3"/>
        <w:tabs>
          <w:tab w:val="clear" w:pos="720"/>
          <w:tab w:val="clear" w:pos="1440"/>
        </w:tabs>
        <w:ind w:hanging="720"/>
      </w:pPr>
      <w:r>
        <w:rPr>
          <w:noProof/>
        </w:rPr>
        <w:pict>
          <v:shape id="_x0000_s1026" type="#_x0000_t75" style="position:absolute;left:0;text-align:left;margin-left:79.2pt;margin-top:-7.2pt;width:361pt;height:36pt;z-index:251660288" o:allowincell="f">
            <v:imagedata r:id="rId30" o:title=""/>
          </v:shape>
          <o:OLEObject Type="Embed" ProgID="Equation.3" ShapeID="_x0000_s1026" DrawAspect="Content" ObjectID="_1355990454" r:id="rId31"/>
        </w:pict>
      </w:r>
      <w:proofErr w:type="gramStart"/>
      <w:r>
        <w:t>b</w:t>
      </w:r>
      <w:proofErr w:type="gramEnd"/>
      <w:r>
        <w:t>.</w:t>
      </w:r>
      <w:r>
        <w:tab/>
      </w:r>
    </w:p>
    <w:p w:rsidR="00621155" w:rsidRDefault="00621155" w:rsidP="00621155">
      <w:pPr>
        <w:pStyle w:val="BodyTextIndent3"/>
        <w:tabs>
          <w:tab w:val="clear" w:pos="720"/>
          <w:tab w:val="clear" w:pos="1440"/>
        </w:tabs>
        <w:ind w:left="0" w:firstLine="0"/>
      </w:pPr>
    </w:p>
    <w:p w:rsidR="00621155" w:rsidRDefault="00621155" w:rsidP="00621155">
      <w:pPr>
        <w:pStyle w:val="BodyTextIndent3"/>
        <w:tabs>
          <w:tab w:val="clear" w:pos="720"/>
          <w:tab w:val="clear" w:pos="1440"/>
        </w:tabs>
        <w:ind w:left="0" w:firstLine="0"/>
      </w:pPr>
      <w:r>
        <w:rPr>
          <w:noProof/>
        </w:rPr>
        <w:pict>
          <v:shape id="_x0000_s1027" type="#_x0000_t75" style="position:absolute;margin-left:79.2pt;margin-top:1.8pt;width:101pt;height:17pt;z-index:251661312" o:allowincell="f">
            <v:imagedata r:id="rId32" o:title=""/>
          </v:shape>
          <o:OLEObject Type="Embed" ProgID="Equation.3" ShapeID="_x0000_s1027" DrawAspect="Content" ObjectID="_1355990455" r:id="rId33"/>
        </w:pict>
      </w:r>
    </w:p>
    <w:p w:rsidR="00621155" w:rsidRDefault="00621155" w:rsidP="00621155">
      <w:pPr>
        <w:pStyle w:val="BodyTextIndent3"/>
        <w:tabs>
          <w:tab w:val="clear" w:pos="720"/>
          <w:tab w:val="clear" w:pos="1440"/>
        </w:tabs>
        <w:ind w:left="0" w:firstLine="0"/>
      </w:pPr>
    </w:p>
    <w:p w:rsidR="00621155" w:rsidRDefault="00621155" w:rsidP="00621155">
      <w:pPr>
        <w:pStyle w:val="BodyTextIndent3"/>
        <w:tabs>
          <w:tab w:val="clear" w:pos="720"/>
          <w:tab w:val="clear" w:pos="1440"/>
        </w:tabs>
        <w:ind w:left="0" w:firstLine="0"/>
      </w:pPr>
      <w:r>
        <w:rPr>
          <w:noProof/>
        </w:rPr>
        <w:pict>
          <v:shape id="_x0000_s1028" type="#_x0000_t75" style="position:absolute;margin-left:79.2pt;margin-top:3pt;width:366pt;height:36pt;z-index:251662336" o:allowincell="f">
            <v:imagedata r:id="rId34" o:title=""/>
          </v:shape>
          <o:OLEObject Type="Embed" ProgID="Equation.3" ShapeID="_x0000_s1028" DrawAspect="Content" ObjectID="_1355990456" r:id="rId35"/>
        </w:pict>
      </w:r>
    </w:p>
    <w:p w:rsidR="00621155" w:rsidRDefault="00621155" w:rsidP="00621155">
      <w:pPr>
        <w:pStyle w:val="BodyTextIndent3"/>
        <w:tabs>
          <w:tab w:val="clear" w:pos="720"/>
          <w:tab w:val="clear" w:pos="1440"/>
        </w:tabs>
        <w:ind w:left="0" w:firstLine="0"/>
      </w:pPr>
    </w:p>
    <w:p w:rsidR="00621155" w:rsidRDefault="00621155" w:rsidP="00621155">
      <w:pPr>
        <w:pStyle w:val="BodyTextIndent3"/>
        <w:tabs>
          <w:tab w:val="clear" w:pos="720"/>
          <w:tab w:val="clear" w:pos="1440"/>
        </w:tabs>
        <w:ind w:left="0" w:firstLine="0"/>
      </w:pPr>
      <w:r>
        <w:rPr>
          <w:noProof/>
        </w:rPr>
        <w:pict>
          <v:shape id="_x0000_s1029" type="#_x0000_t75" style="position:absolute;margin-left:79.2pt;margin-top:12pt;width:113pt;height:17pt;z-index:251663360" o:allowincell="f">
            <v:imagedata r:id="rId36" o:title=""/>
          </v:shape>
          <o:OLEObject Type="Embed" ProgID="Equation.3" ShapeID="_x0000_s1029" DrawAspect="Content" ObjectID="_1355990457" r:id="rId37"/>
        </w:pict>
      </w:r>
    </w:p>
    <w:p w:rsidR="00621155" w:rsidRDefault="00621155" w:rsidP="00621155">
      <w:pPr>
        <w:pStyle w:val="BodyTextIndent3"/>
        <w:tabs>
          <w:tab w:val="clear" w:pos="720"/>
          <w:tab w:val="clear" w:pos="1440"/>
        </w:tabs>
        <w:ind w:left="0" w:firstLine="0"/>
      </w:pPr>
    </w:p>
    <w:p w:rsidR="00621155" w:rsidRDefault="00621155" w:rsidP="00621155">
      <w:pPr>
        <w:pStyle w:val="BodyTextIndent3"/>
        <w:tabs>
          <w:tab w:val="clear" w:pos="720"/>
          <w:tab w:val="clear" w:pos="1440"/>
        </w:tabs>
        <w:ind w:left="0" w:firstLine="0"/>
      </w:pPr>
    </w:p>
    <w:p w:rsidR="00621155" w:rsidRDefault="00621155" w:rsidP="00621155">
      <w:pPr>
        <w:pStyle w:val="BodyTextIndent3"/>
        <w:tabs>
          <w:tab w:val="clear" w:pos="720"/>
          <w:tab w:val="clear" w:pos="1440"/>
        </w:tabs>
        <w:spacing w:line="360" w:lineRule="auto"/>
        <w:ind w:hanging="720"/>
      </w:pPr>
      <w:r>
        <w:t>c.</w:t>
      </w:r>
      <w:r>
        <w:tab/>
        <w:t xml:space="preserve">Expected income from Well 1: [(0.2 </w:t>
      </w:r>
      <w:r>
        <w:sym w:font="Symbol" w:char="F0B4"/>
      </w:r>
      <w:r>
        <w:t xml:space="preserve"> 0) + (0.8 </w:t>
      </w:r>
      <w:r>
        <w:sym w:font="Symbol" w:char="F0B4"/>
      </w:r>
      <w:r>
        <w:t xml:space="preserve"> 3 million)] = $2.4 million</w:t>
      </w:r>
    </w:p>
    <w:p w:rsidR="00621155" w:rsidRDefault="00621155" w:rsidP="00621155">
      <w:pPr>
        <w:pStyle w:val="BodyTextIndent3"/>
        <w:tabs>
          <w:tab w:val="clear" w:pos="720"/>
          <w:tab w:val="clear" w:pos="1440"/>
        </w:tabs>
        <w:spacing w:line="360" w:lineRule="auto"/>
        <w:ind w:firstLine="0"/>
      </w:pPr>
      <w:r>
        <w:t xml:space="preserve">Expected income from Well 2: [(0.2 </w:t>
      </w:r>
      <w:r>
        <w:sym w:font="Symbol" w:char="F0B4"/>
      </w:r>
      <w:r>
        <w:t xml:space="preserve"> 0) + (0.8 </w:t>
      </w:r>
      <w:r>
        <w:sym w:font="Symbol" w:char="F0B4"/>
      </w:r>
      <w:r>
        <w:t xml:space="preserve"> 2 million)] = $1.6 million</w:t>
      </w:r>
    </w:p>
    <w:p w:rsidR="00621155" w:rsidRDefault="00621155" w:rsidP="00621155">
      <w:pPr>
        <w:pStyle w:val="BodyTextIndent3"/>
        <w:tabs>
          <w:tab w:val="clear" w:pos="720"/>
          <w:tab w:val="clear" w:pos="1440"/>
        </w:tabs>
        <w:ind w:firstLine="0"/>
      </w:pPr>
      <w:r>
        <w:t>Discounting at 8.85 percent gives:</w:t>
      </w:r>
    </w:p>
    <w:p w:rsidR="00621155" w:rsidRDefault="00621155" w:rsidP="00621155">
      <w:pPr>
        <w:pStyle w:val="BodyTextIndent3"/>
        <w:tabs>
          <w:tab w:val="clear" w:pos="720"/>
          <w:tab w:val="clear" w:pos="1440"/>
        </w:tabs>
        <w:ind w:left="0" w:firstLine="0"/>
      </w:pPr>
    </w:p>
    <w:p w:rsidR="00621155" w:rsidRDefault="00621155" w:rsidP="00621155">
      <w:pPr>
        <w:pStyle w:val="BodyTextIndent3"/>
        <w:tabs>
          <w:tab w:val="clear" w:pos="720"/>
          <w:tab w:val="clear" w:pos="1440"/>
        </w:tabs>
        <w:ind w:left="0" w:firstLine="0"/>
      </w:pPr>
      <w:r>
        <w:rPr>
          <w:noProof/>
        </w:rPr>
        <w:pict>
          <v:shape id="_x0000_s1030" type="#_x0000_t75" style="position:absolute;margin-left:79.2pt;margin-top:-7.2pt;width:380pt;height:36pt;z-index:251664384" o:allowincell="f">
            <v:imagedata r:id="rId38" o:title=""/>
          </v:shape>
          <o:OLEObject Type="Embed" ProgID="Equation.3" ShapeID="_x0000_s1030" DrawAspect="Content" ObjectID="_1355990458" r:id="rId39"/>
        </w:pict>
      </w:r>
    </w:p>
    <w:p w:rsidR="00621155" w:rsidRDefault="00621155" w:rsidP="00621155">
      <w:pPr>
        <w:pStyle w:val="BodyTextIndent3"/>
        <w:tabs>
          <w:tab w:val="clear" w:pos="720"/>
          <w:tab w:val="clear" w:pos="1440"/>
        </w:tabs>
        <w:ind w:left="0" w:firstLine="0"/>
      </w:pPr>
    </w:p>
    <w:p w:rsidR="00621155" w:rsidRDefault="00621155" w:rsidP="00621155">
      <w:pPr>
        <w:pStyle w:val="BodyTextIndent3"/>
        <w:tabs>
          <w:tab w:val="clear" w:pos="720"/>
          <w:tab w:val="clear" w:pos="1440"/>
        </w:tabs>
        <w:ind w:left="0" w:firstLine="0"/>
      </w:pPr>
      <w:r>
        <w:rPr>
          <w:noProof/>
        </w:rPr>
        <w:pict>
          <v:shape id="_x0000_s1031" type="#_x0000_t75" style="position:absolute;margin-left:79.2pt;margin-top:1.8pt;width:102pt;height:17pt;z-index:251665408" o:allowincell="f">
            <v:imagedata r:id="rId40" o:title=""/>
          </v:shape>
          <o:OLEObject Type="Embed" ProgID="Equation.3" ShapeID="_x0000_s1031" DrawAspect="Content" ObjectID="_1355990459" r:id="rId41"/>
        </w:pict>
      </w:r>
    </w:p>
    <w:p w:rsidR="00621155" w:rsidRDefault="00621155" w:rsidP="00621155">
      <w:pPr>
        <w:pStyle w:val="BodyTextIndent3"/>
        <w:tabs>
          <w:tab w:val="clear" w:pos="720"/>
          <w:tab w:val="clear" w:pos="1440"/>
        </w:tabs>
        <w:ind w:left="0" w:firstLine="0"/>
      </w:pPr>
    </w:p>
    <w:p w:rsidR="00621155" w:rsidRDefault="00621155" w:rsidP="00621155">
      <w:pPr>
        <w:pStyle w:val="BodyTextIndent3"/>
        <w:tabs>
          <w:tab w:val="clear" w:pos="720"/>
          <w:tab w:val="clear" w:pos="1440"/>
        </w:tabs>
        <w:ind w:left="0" w:firstLine="0"/>
      </w:pPr>
      <w:r>
        <w:rPr>
          <w:noProof/>
        </w:rPr>
        <w:pict>
          <v:shape id="_x0000_s1032" type="#_x0000_t75" style="position:absolute;margin-left:79.2pt;margin-top:3pt;width:384.95pt;height:36pt;z-index:251666432" o:allowincell="f">
            <v:imagedata r:id="rId42" o:title=""/>
          </v:shape>
          <o:OLEObject Type="Embed" ProgID="Equation.3" ShapeID="_x0000_s1032" DrawAspect="Content" ObjectID="_1355990460" r:id="rId43"/>
        </w:pict>
      </w:r>
    </w:p>
    <w:p w:rsidR="00621155" w:rsidRDefault="00621155" w:rsidP="00621155">
      <w:pPr>
        <w:pStyle w:val="BodyTextIndent3"/>
        <w:tabs>
          <w:tab w:val="clear" w:pos="720"/>
          <w:tab w:val="clear" w:pos="1440"/>
        </w:tabs>
        <w:ind w:left="0" w:firstLine="0"/>
      </w:pPr>
    </w:p>
    <w:p w:rsidR="00621155" w:rsidRDefault="00621155" w:rsidP="00621155">
      <w:pPr>
        <w:pStyle w:val="BodyTextIndent3"/>
        <w:tabs>
          <w:tab w:val="clear" w:pos="720"/>
          <w:tab w:val="clear" w:pos="1440"/>
        </w:tabs>
        <w:ind w:left="0" w:firstLine="0"/>
      </w:pPr>
      <w:r>
        <w:rPr>
          <w:noProof/>
        </w:rPr>
        <w:pict>
          <v:shape id="_x0000_s1033" type="#_x0000_t75" style="position:absolute;margin-left:79.2pt;margin-top:12pt;width:103.95pt;height:17pt;z-index:251667456" o:allowincell="f">
            <v:imagedata r:id="rId44" o:title=""/>
          </v:shape>
          <o:OLEObject Type="Embed" ProgID="Equation.3" ShapeID="_x0000_s1033" DrawAspect="Content" ObjectID="_1355990461" r:id="rId45"/>
        </w:pict>
      </w:r>
    </w:p>
    <w:p w:rsidR="00621155" w:rsidRDefault="00621155" w:rsidP="00621155">
      <w:pPr>
        <w:pStyle w:val="BodyTextIndent3"/>
        <w:tabs>
          <w:tab w:val="clear" w:pos="720"/>
          <w:tab w:val="clear" w:pos="1440"/>
        </w:tabs>
        <w:ind w:left="0" w:firstLine="0"/>
      </w:pPr>
    </w:p>
    <w:p w:rsidR="00621155" w:rsidRDefault="00621155" w:rsidP="00621155">
      <w:pPr>
        <w:pStyle w:val="BodyTextIndent3"/>
        <w:tabs>
          <w:tab w:val="clear" w:pos="720"/>
          <w:tab w:val="clear" w:pos="1440"/>
        </w:tabs>
        <w:ind w:left="0" w:firstLine="0"/>
      </w:pPr>
    </w:p>
    <w:p w:rsidR="00621155" w:rsidRDefault="00621155" w:rsidP="00621155">
      <w:pPr>
        <w:pStyle w:val="BodyTextIndent3"/>
        <w:tabs>
          <w:tab w:val="clear" w:pos="720"/>
          <w:tab w:val="clear" w:pos="1440"/>
        </w:tabs>
        <w:ind w:hanging="720"/>
      </w:pPr>
      <w:r>
        <w:t>d.</w:t>
      </w:r>
      <w:r>
        <w:tab/>
        <w:t>For Well 1, one can certainly find a discount rate (and hence a “fudge factor”) that, when applied to cash flows of $3 million per year for 10 years, will yield the correct NPV of $5,504,600.  Similarly, for Well 2, one can find the appropriate discount rate.  However, these two “fudge factors” will be different.  Specifically, Well 2 will have a smaller “fudge factor” because its cash flows are more distant.  With more distant cash flows, a smaller addition to the discount rate has a larger impact on present value.</w:t>
      </w:r>
    </w:p>
    <w:p w:rsidR="00621155" w:rsidRDefault="00621155" w:rsidP="00621155">
      <w:pPr>
        <w:pStyle w:val="BodyTextIndent3"/>
        <w:tabs>
          <w:tab w:val="clear" w:pos="720"/>
          <w:tab w:val="clear" w:pos="1440"/>
        </w:tabs>
        <w:ind w:left="0" w:firstLine="0"/>
      </w:pPr>
    </w:p>
    <w:p w:rsidR="00BD3BC2" w:rsidRDefault="00BD3BC2"/>
    <w:sectPr w:rsidR="00BD3BC2" w:rsidSect="00621155">
      <w:headerReference w:type="default" r:id="rId46"/>
      <w:footerReference w:type="even" r:id="rId47"/>
      <w:footerReference w:type="default" r:id="rId48"/>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Palatino-Italic">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E8D" w:rsidRDefault="00EE11F6" w:rsidP="009050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E8D" w:rsidRDefault="00EE11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0F2" w:rsidRPr="009050F2" w:rsidRDefault="00EE11F6" w:rsidP="009050F2">
    <w:pPr>
      <w:pStyle w:val="Footer"/>
      <w:framePr w:w="685" w:wrap="around" w:vAnchor="text" w:hAnchor="page" w:x="5482" w:y="7"/>
      <w:jc w:val="center"/>
      <w:rPr>
        <w:rStyle w:val="PageNumber"/>
        <w:rFonts w:ascii="Times New Roman" w:hAnsi="Times New Roman"/>
        <w:sz w:val="20"/>
      </w:rPr>
    </w:pPr>
    <w:r w:rsidRPr="009050F2">
      <w:rPr>
        <w:rStyle w:val="PageNumber"/>
        <w:rFonts w:ascii="Times New Roman" w:hAnsi="Times New Roman"/>
        <w:sz w:val="20"/>
      </w:rPr>
      <w:t>9-</w:t>
    </w:r>
    <w:r w:rsidRPr="009050F2">
      <w:rPr>
        <w:rStyle w:val="PageNumber"/>
        <w:rFonts w:ascii="Times New Roman" w:hAnsi="Times New Roman"/>
        <w:sz w:val="20"/>
      </w:rPr>
      <w:fldChar w:fldCharType="begin"/>
    </w:r>
    <w:r w:rsidRPr="009050F2">
      <w:rPr>
        <w:rStyle w:val="PageNumber"/>
        <w:rFonts w:ascii="Times New Roman" w:hAnsi="Times New Roman"/>
        <w:sz w:val="20"/>
      </w:rPr>
      <w:instrText xml:space="preserve">PAGE  </w:instrText>
    </w:r>
    <w:r w:rsidRPr="009050F2">
      <w:rPr>
        <w:rStyle w:val="PageNumber"/>
        <w:rFonts w:ascii="Times New Roman" w:hAnsi="Times New Roman"/>
        <w:sz w:val="20"/>
      </w:rPr>
      <w:fldChar w:fldCharType="separate"/>
    </w:r>
    <w:r w:rsidR="00621155">
      <w:rPr>
        <w:rStyle w:val="PageNumber"/>
        <w:rFonts w:ascii="Times New Roman" w:hAnsi="Times New Roman"/>
        <w:noProof/>
        <w:sz w:val="20"/>
      </w:rPr>
      <w:t>7</w:t>
    </w:r>
    <w:r w:rsidRPr="009050F2">
      <w:rPr>
        <w:rStyle w:val="PageNumber"/>
        <w:rFonts w:ascii="Times New Roman" w:hAnsi="Times New Roman"/>
        <w:sz w:val="20"/>
      </w:rPr>
      <w:fldChar w:fldCharType="end"/>
    </w:r>
  </w:p>
  <w:p w:rsidR="00C66E8D" w:rsidRPr="009050F2" w:rsidRDefault="00EE11F6" w:rsidP="009050F2">
    <w:pPr>
      <w:pStyle w:val="Footer"/>
      <w:jc w:val="center"/>
      <w:rPr>
        <w:rFonts w:ascii="Times New Roman" w:hAnsi="Times New Roman"/>
        <w:sz w:val="20"/>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E8D" w:rsidRPr="009050F2" w:rsidRDefault="00EE11F6" w:rsidP="009050F2">
    <w:pPr>
      <w:pStyle w:val="Heading2"/>
      <w:rPr>
        <w:rFonts w:ascii="Times New Roman" w:hAnsi="Times New Roman"/>
        <w:i w:val="0"/>
        <w:sz w:val="20"/>
      </w:rPr>
    </w:pPr>
    <w:r w:rsidRPr="009050F2">
      <w:rPr>
        <w:rFonts w:ascii="Times New Roman" w:hAnsi="Times New Roman"/>
        <w:i w:val="0"/>
        <w:sz w:val="20"/>
      </w:rPr>
      <w:t>Chapter 09 - Risk and the Cost of Capital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26246"/>
    <w:multiLevelType w:val="singleLevel"/>
    <w:tmpl w:val="7D8833C2"/>
    <w:lvl w:ilvl="0">
      <w:start w:val="2"/>
      <w:numFmt w:val="lowerLetter"/>
      <w:lvlText w:val="%1."/>
      <w:lvlJc w:val="left"/>
      <w:pPr>
        <w:tabs>
          <w:tab w:val="num" w:pos="1440"/>
        </w:tabs>
        <w:ind w:left="1440" w:hanging="720"/>
      </w:pPr>
      <w:rPr>
        <w:rFonts w:hint="default"/>
      </w:rPr>
    </w:lvl>
  </w:abstractNum>
  <w:abstractNum w:abstractNumId="1">
    <w:nsid w:val="16F86F13"/>
    <w:multiLevelType w:val="hybridMultilevel"/>
    <w:tmpl w:val="6BEA6922"/>
    <w:lvl w:ilvl="0" w:tplc="A9CC63C2">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60294C42"/>
    <w:multiLevelType w:val="hybridMultilevel"/>
    <w:tmpl w:val="5840FB8A"/>
    <w:lvl w:ilvl="0" w:tplc="0AD03572">
      <w:start w:val="10"/>
      <w:numFmt w:val="decimal"/>
      <w:lvlText w:val="%1."/>
      <w:lvlJc w:val="left"/>
      <w:pPr>
        <w:tabs>
          <w:tab w:val="num" w:pos="4320"/>
        </w:tabs>
        <w:ind w:left="720" w:hanging="720"/>
      </w:pPr>
      <w:rPr>
        <w:rFonts w:hint="default"/>
      </w:rPr>
    </w:lvl>
    <w:lvl w:ilvl="1" w:tplc="8D60195C">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621155"/>
    <w:rsid w:val="001000F8"/>
    <w:rsid w:val="004F6A47"/>
    <w:rsid w:val="00621155"/>
    <w:rsid w:val="006E08FC"/>
    <w:rsid w:val="00731393"/>
    <w:rsid w:val="007F66C2"/>
    <w:rsid w:val="00960E5E"/>
    <w:rsid w:val="00BD3BC2"/>
    <w:rsid w:val="00C401FA"/>
    <w:rsid w:val="00E641FC"/>
    <w:rsid w:val="00EE1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155"/>
    <w:rPr>
      <w:rFonts w:ascii="Arial" w:hAnsi="Arial"/>
      <w:sz w:val="24"/>
    </w:rPr>
  </w:style>
  <w:style w:type="paragraph" w:styleId="Heading2">
    <w:name w:val="heading 2"/>
    <w:basedOn w:val="Normal"/>
    <w:next w:val="Normal"/>
    <w:link w:val="Heading2Char"/>
    <w:qFormat/>
    <w:rsid w:val="00621155"/>
    <w:pPr>
      <w:keepNext/>
      <w:outlineLvl w:val="1"/>
    </w:pPr>
    <w:rPr>
      <w:i/>
    </w:rPr>
  </w:style>
  <w:style w:type="paragraph" w:styleId="Heading4">
    <w:name w:val="heading 4"/>
    <w:basedOn w:val="Normal"/>
    <w:next w:val="Normal"/>
    <w:link w:val="Heading4Char"/>
    <w:qFormat/>
    <w:rsid w:val="00621155"/>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1155"/>
    <w:rPr>
      <w:rFonts w:ascii="Arial" w:hAnsi="Arial"/>
      <w:i/>
      <w:sz w:val="24"/>
    </w:rPr>
  </w:style>
  <w:style w:type="character" w:customStyle="1" w:styleId="Heading4Char">
    <w:name w:val="Heading 4 Char"/>
    <w:basedOn w:val="DefaultParagraphFont"/>
    <w:link w:val="Heading4"/>
    <w:rsid w:val="00621155"/>
    <w:rPr>
      <w:rFonts w:ascii="Arial" w:hAnsi="Arial"/>
      <w:b/>
      <w:sz w:val="24"/>
    </w:rPr>
  </w:style>
  <w:style w:type="paragraph" w:styleId="Footer">
    <w:name w:val="footer"/>
    <w:basedOn w:val="Normal"/>
    <w:link w:val="FooterChar"/>
    <w:rsid w:val="00621155"/>
    <w:pPr>
      <w:tabs>
        <w:tab w:val="center" w:pos="4320"/>
        <w:tab w:val="right" w:pos="8640"/>
      </w:tabs>
    </w:pPr>
  </w:style>
  <w:style w:type="character" w:customStyle="1" w:styleId="FooterChar">
    <w:name w:val="Footer Char"/>
    <w:basedOn w:val="DefaultParagraphFont"/>
    <w:link w:val="Footer"/>
    <w:rsid w:val="00621155"/>
    <w:rPr>
      <w:rFonts w:ascii="Arial" w:hAnsi="Arial"/>
      <w:sz w:val="24"/>
    </w:rPr>
  </w:style>
  <w:style w:type="character" w:styleId="PageNumber">
    <w:name w:val="page number"/>
    <w:basedOn w:val="DefaultParagraphFont"/>
    <w:rsid w:val="00621155"/>
  </w:style>
  <w:style w:type="paragraph" w:styleId="BodyTextIndent3">
    <w:name w:val="Body Text Indent 3"/>
    <w:basedOn w:val="Normal"/>
    <w:link w:val="BodyTextIndent3Char"/>
    <w:rsid w:val="00621155"/>
    <w:pPr>
      <w:tabs>
        <w:tab w:val="left" w:pos="720"/>
        <w:tab w:val="left" w:pos="1440"/>
      </w:tabs>
      <w:ind w:left="1440" w:hanging="1440"/>
    </w:pPr>
  </w:style>
  <w:style w:type="character" w:customStyle="1" w:styleId="BodyTextIndent3Char">
    <w:name w:val="Body Text Indent 3 Char"/>
    <w:basedOn w:val="DefaultParagraphFont"/>
    <w:link w:val="BodyTextIndent3"/>
    <w:rsid w:val="00621155"/>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7.bin"/><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wmf"/><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9.wmf"/><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6.bin"/><Relationship Id="rId40" Type="http://schemas.openxmlformats.org/officeDocument/2006/relationships/image" Target="media/image19.wmf"/><Relationship Id="rId45" Type="http://schemas.openxmlformats.org/officeDocument/2006/relationships/oleObject" Target="embeddings/oleObject2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1.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footer" Target="footer2.xml"/><Relationship Id="rId8"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1427</Words>
  <Characters>8138</Characters>
  <Application>Microsoft Office Word</Application>
  <DocSecurity>0</DocSecurity>
  <Lines>67</Lines>
  <Paragraphs>19</Paragraphs>
  <ScaleCrop>false</ScaleCrop>
  <Company>Baylor University</Company>
  <LinksUpToDate>false</LinksUpToDate>
  <CharactersWithSpaces>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c:creator>
  <cp:keywords/>
  <dc:description/>
  <cp:lastModifiedBy>BU</cp:lastModifiedBy>
  <cp:revision>1</cp:revision>
  <dcterms:created xsi:type="dcterms:W3CDTF">2011-01-08T17:14:00Z</dcterms:created>
  <dcterms:modified xsi:type="dcterms:W3CDTF">2011-01-08T17:14:00Z</dcterms:modified>
</cp:coreProperties>
</file>