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36" w:rsidRDefault="00F00A36" w:rsidP="00F00A36">
      <w:pPr>
        <w:pStyle w:val="Heading2"/>
        <w:jc w:val="center"/>
        <w:rPr>
          <w:b/>
          <w:i w:val="0"/>
        </w:rPr>
      </w:pPr>
      <w:r>
        <w:rPr>
          <w:b/>
          <w:i w:val="0"/>
        </w:rPr>
        <w:t>CHAPTER 8</w:t>
      </w:r>
    </w:p>
    <w:p w:rsidR="00F00A36" w:rsidRDefault="00F00A36" w:rsidP="00F00A36">
      <w:pPr>
        <w:pStyle w:val="Heading4"/>
      </w:pPr>
      <w:r>
        <w:t>Portfolio Theory and the Capital Asset Pricing Model</w:t>
      </w:r>
    </w:p>
    <w:p w:rsidR="00F00A36" w:rsidRDefault="00F00A36" w:rsidP="00F00A36">
      <w:pPr>
        <w:jc w:val="center"/>
        <w:rPr>
          <w:b/>
        </w:rPr>
      </w:pPr>
    </w:p>
    <w:p w:rsidR="00F00A36" w:rsidRDefault="00F00A36" w:rsidP="00F00A36">
      <w:pPr>
        <w:pStyle w:val="Heading2"/>
        <w:rPr>
          <w:b/>
        </w:rPr>
      </w:pPr>
    </w:p>
    <w:p w:rsidR="00F00A36" w:rsidRDefault="00F00A36" w:rsidP="00F00A36">
      <w:pPr>
        <w:pStyle w:val="Heading2"/>
        <w:rPr>
          <w:b/>
        </w:rPr>
      </w:pPr>
      <w:r>
        <w:rPr>
          <w:b/>
        </w:rPr>
        <w:t>Answers to Problem Sets</w:t>
      </w:r>
    </w:p>
    <w:p w:rsidR="00F00A36" w:rsidRPr="000D6A15" w:rsidRDefault="00F00A36" w:rsidP="00F00A36">
      <w:pPr>
        <w:rPr>
          <w:iCs/>
        </w:rPr>
      </w:pPr>
    </w:p>
    <w:p w:rsidR="00F00A36" w:rsidRPr="004D657B" w:rsidRDefault="00F00A36" w:rsidP="00F00A36">
      <w:pPr>
        <w:tabs>
          <w:tab w:val="left" w:pos="360"/>
        </w:tabs>
        <w:ind w:left="576" w:hanging="576"/>
        <w:rPr>
          <w:rFonts w:cs="Arial"/>
          <w:iCs/>
          <w:sz w:val="22"/>
          <w:szCs w:val="22"/>
        </w:rPr>
      </w:pPr>
    </w:p>
    <w:p w:rsidR="00F00A36" w:rsidRDefault="00F00A36" w:rsidP="00F00A36">
      <w:pPr>
        <w:pStyle w:val="eaplnm"/>
        <w:tabs>
          <w:tab w:val="left" w:pos="720"/>
          <w:tab w:val="left" w:pos="1440"/>
        </w:tabs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 w:rsidRPr="004D657B">
        <w:rPr>
          <w:rStyle w:val="bold"/>
          <w:rFonts w:cs="Arial"/>
          <w:b w:val="0"/>
          <w:bCs w:val="0"/>
          <w:color w:val="auto"/>
          <w:szCs w:val="24"/>
        </w:rPr>
        <w:t>1.</w:t>
      </w:r>
      <w:r w:rsidRPr="004D657B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4D657B">
        <w:rPr>
          <w:rStyle w:val="bold"/>
          <w:rFonts w:cs="Arial"/>
          <w:b w:val="0"/>
          <w:bCs w:val="0"/>
          <w:color w:val="auto"/>
          <w:szCs w:val="24"/>
        </w:rPr>
        <w:t>a</w:t>
      </w:r>
      <w:proofErr w:type="gramEnd"/>
      <w:r>
        <w:rPr>
          <w:rFonts w:ascii="Arial" w:hAnsi="Arial" w:cs="Arial"/>
          <w:color w:val="auto"/>
          <w:sz w:val="24"/>
          <w:szCs w:val="24"/>
        </w:rPr>
        <w:t>.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Fonts w:ascii="Arial" w:hAnsi="Arial" w:cs="Arial"/>
          <w:color w:val="auto"/>
          <w:sz w:val="24"/>
          <w:szCs w:val="24"/>
        </w:rPr>
        <w:t>7%</w:t>
      </w:r>
    </w:p>
    <w:p w:rsidR="00F00A36" w:rsidRDefault="00F00A36" w:rsidP="00F00A36">
      <w:pPr>
        <w:pStyle w:val="eaplnm"/>
        <w:tabs>
          <w:tab w:val="left" w:pos="720"/>
          <w:tab w:val="left" w:pos="1440"/>
        </w:tabs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Default="00F00A36" w:rsidP="00F00A36">
      <w:pPr>
        <w:pStyle w:val="eaplnm"/>
        <w:tabs>
          <w:tab w:val="left" w:pos="720"/>
        </w:tabs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4D657B">
        <w:rPr>
          <w:rStyle w:val="bold"/>
          <w:rFonts w:cs="Arial"/>
          <w:b w:val="0"/>
          <w:bCs w:val="0"/>
          <w:color w:val="auto"/>
          <w:szCs w:val="24"/>
        </w:rPr>
        <w:t>b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Fonts w:ascii="Arial" w:hAnsi="Arial" w:cs="Arial"/>
          <w:color w:val="auto"/>
          <w:sz w:val="24"/>
          <w:szCs w:val="24"/>
        </w:rPr>
        <w:t>27</w:t>
      </w:r>
      <w:proofErr w:type="gramEnd"/>
      <w:r w:rsidRPr="004D657B">
        <w:rPr>
          <w:rFonts w:ascii="Arial" w:hAnsi="Arial" w:cs="Arial"/>
          <w:color w:val="auto"/>
          <w:sz w:val="24"/>
          <w:szCs w:val="24"/>
        </w:rPr>
        <w:t>% with perfect positive correlation; 1% with perfect negative correlat</w:t>
      </w:r>
      <w:r>
        <w:rPr>
          <w:rFonts w:ascii="Arial" w:hAnsi="Arial" w:cs="Arial"/>
          <w:color w:val="auto"/>
          <w:sz w:val="24"/>
          <w:szCs w:val="24"/>
        </w:rPr>
        <w:t xml:space="preserve">ion; </w:t>
      </w:r>
    </w:p>
    <w:p w:rsidR="00F00A36" w:rsidRDefault="00F00A36" w:rsidP="00F00A36">
      <w:pPr>
        <w:pStyle w:val="eaplnm"/>
        <w:tabs>
          <w:tab w:val="left" w:pos="720"/>
        </w:tabs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>19.1% with no correlation</w:t>
      </w:r>
    </w:p>
    <w:p w:rsidR="00F00A36" w:rsidRDefault="00F00A36" w:rsidP="00F00A36">
      <w:pPr>
        <w:pStyle w:val="eaplnm"/>
        <w:tabs>
          <w:tab w:val="left" w:pos="720"/>
        </w:tabs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Default="00F00A36" w:rsidP="00F00A36">
      <w:pPr>
        <w:pStyle w:val="eaplnm"/>
        <w:tabs>
          <w:tab w:val="left" w:pos="720"/>
        </w:tabs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Style w:val="bold"/>
          <w:rFonts w:cs="Arial"/>
          <w:b w:val="0"/>
          <w:bCs w:val="0"/>
          <w:color w:val="auto"/>
          <w:szCs w:val="24"/>
        </w:rPr>
        <w:tab/>
      </w:r>
      <w:r>
        <w:rPr>
          <w:rStyle w:val="bold"/>
          <w:rFonts w:cs="Arial"/>
          <w:b w:val="0"/>
          <w:bCs w:val="0"/>
          <w:color w:val="auto"/>
          <w:szCs w:val="24"/>
        </w:rPr>
        <w:tab/>
      </w:r>
      <w:r>
        <w:rPr>
          <w:rStyle w:val="bold"/>
          <w:rFonts w:cs="Arial"/>
          <w:b w:val="0"/>
          <w:bCs w:val="0"/>
          <w:color w:val="auto"/>
          <w:szCs w:val="24"/>
        </w:rPr>
        <w:tab/>
      </w:r>
      <w:r>
        <w:rPr>
          <w:rStyle w:val="bold"/>
          <w:rFonts w:cs="Arial"/>
          <w:b w:val="0"/>
          <w:bCs w:val="0"/>
          <w:color w:val="auto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zCs w:val="24"/>
        </w:rPr>
        <w:t>c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Fonts w:ascii="Arial" w:hAnsi="Arial" w:cs="Arial"/>
          <w:color w:val="auto"/>
          <w:sz w:val="24"/>
          <w:szCs w:val="24"/>
        </w:rPr>
        <w:t>See Figure 1</w:t>
      </w:r>
      <w:r>
        <w:rPr>
          <w:rFonts w:ascii="Arial" w:hAnsi="Arial" w:cs="Arial"/>
          <w:color w:val="auto"/>
          <w:sz w:val="24"/>
          <w:szCs w:val="24"/>
        </w:rPr>
        <w:t xml:space="preserve"> below</w:t>
      </w:r>
    </w:p>
    <w:p w:rsidR="00F00A36" w:rsidRDefault="00F00A36" w:rsidP="00F00A36">
      <w:pPr>
        <w:pStyle w:val="eaplnm"/>
        <w:tabs>
          <w:tab w:val="left" w:pos="720"/>
        </w:tabs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Fonts w:ascii="Cambria" w:hAnsi="Cambria" w:cs="Palatino-Italic"/>
          <w:iCs/>
          <w:sz w:val="22"/>
          <w:szCs w:val="22"/>
        </w:rPr>
        <w:tab/>
      </w:r>
      <w:r>
        <w:rPr>
          <w:rFonts w:ascii="Cambria" w:hAnsi="Cambria" w:cs="Palatino-Italic"/>
          <w:iCs/>
          <w:sz w:val="22"/>
          <w:szCs w:val="22"/>
        </w:rPr>
        <w:tab/>
      </w:r>
      <w:r>
        <w:rPr>
          <w:rFonts w:ascii="Cambria" w:hAnsi="Cambria" w:cs="Palatino-Italic"/>
          <w:iCs/>
          <w:sz w:val="22"/>
          <w:szCs w:val="22"/>
        </w:rPr>
        <w:tab/>
      </w:r>
      <w:r>
        <w:rPr>
          <w:rFonts w:ascii="Cambria" w:hAnsi="Cambria" w:cs="Palatino-Italic"/>
          <w:iCs/>
          <w:sz w:val="22"/>
          <w:szCs w:val="22"/>
        </w:rPr>
        <w:tab/>
      </w:r>
      <w:r>
        <w:rPr>
          <w:rFonts w:ascii="Cambria" w:hAnsi="Cambria" w:cs="Palatino-Italic"/>
          <w:iCs/>
          <w:sz w:val="22"/>
          <w:szCs w:val="22"/>
        </w:rPr>
        <w:tab/>
      </w:r>
      <w:r>
        <w:rPr>
          <w:rFonts w:ascii="Cambria" w:hAnsi="Cambria" w:cs="Palatino-Italic"/>
          <w:iCs/>
          <w:noProof/>
          <w:sz w:val="22"/>
          <w:szCs w:val="22"/>
        </w:rPr>
        <w:drawing>
          <wp:inline distT="0" distB="0" distL="0" distR="0">
            <wp:extent cx="3133725" cy="2657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36" w:rsidRDefault="00F00A36" w:rsidP="00F00A36">
      <w:pPr>
        <w:pStyle w:val="eaplnm"/>
        <w:tabs>
          <w:tab w:val="left" w:pos="720"/>
        </w:tabs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Pr="004D657B" w:rsidRDefault="00F00A36" w:rsidP="00F00A36">
      <w:pPr>
        <w:pStyle w:val="eaplnm"/>
        <w:tabs>
          <w:tab w:val="left" w:pos="720"/>
        </w:tabs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zCs w:val="24"/>
        </w:rPr>
        <w:t>d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Fonts w:ascii="Arial" w:hAnsi="Arial" w:cs="Arial"/>
          <w:color w:val="auto"/>
          <w:sz w:val="24"/>
          <w:szCs w:val="24"/>
        </w:rPr>
        <w:t>No, measure risk by beta, not by standard deviation.</w:t>
      </w:r>
    </w:p>
    <w:p w:rsidR="00F00A36" w:rsidRDefault="00F00A36" w:rsidP="00F00A36">
      <w:pPr>
        <w:pStyle w:val="eaplnm"/>
        <w:spacing w:before="0"/>
        <w:ind w:left="576" w:hanging="576"/>
        <w:rPr>
          <w:rFonts w:cs="Arial"/>
          <w:color w:val="auto"/>
          <w:sz w:val="24"/>
          <w:szCs w:val="24"/>
        </w:rPr>
      </w:pPr>
      <w:r w:rsidRPr="004D657B">
        <w:rPr>
          <w:rFonts w:cs="Arial"/>
          <w:color w:val="auto"/>
          <w:sz w:val="24"/>
          <w:szCs w:val="24"/>
        </w:rPr>
        <w:t> </w:t>
      </w:r>
    </w:p>
    <w:p w:rsidR="00F00A36" w:rsidRPr="004D657B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 w:rsidRPr="004D657B">
        <w:rPr>
          <w:rStyle w:val="bold"/>
          <w:rFonts w:cs="Arial"/>
          <w:b w:val="0"/>
          <w:bCs w:val="0"/>
          <w:color w:val="auto"/>
          <w:szCs w:val="24"/>
        </w:rPr>
        <w:t>2.</w:t>
      </w:r>
      <w:r w:rsidRPr="004D657B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4D657B">
        <w:rPr>
          <w:rStyle w:val="bold"/>
          <w:rFonts w:cs="Arial"/>
          <w:b w:val="0"/>
          <w:bCs w:val="0"/>
          <w:color w:val="auto"/>
          <w:szCs w:val="24"/>
        </w:rPr>
        <w:t>a</w:t>
      </w:r>
      <w:proofErr w:type="gramEnd"/>
      <w:r w:rsidRPr="004D657B">
        <w:rPr>
          <w:rStyle w:val="bold"/>
          <w:rFonts w:cs="Arial"/>
          <w:b w:val="0"/>
          <w:bCs w:val="0"/>
          <w:color w:val="auto"/>
          <w:szCs w:val="24"/>
        </w:rPr>
        <w:t>.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Fonts w:ascii="Arial" w:hAnsi="Arial" w:cs="Arial"/>
          <w:color w:val="auto"/>
          <w:sz w:val="24"/>
          <w:szCs w:val="24"/>
        </w:rPr>
        <w:t>Portfolio A (higher expected return, same risk)</w:t>
      </w: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zCs w:val="24"/>
        </w:rPr>
        <w:t>b.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Fonts w:ascii="Arial" w:hAnsi="Arial" w:cs="Arial"/>
          <w:color w:val="auto"/>
          <w:sz w:val="24"/>
          <w:szCs w:val="24"/>
        </w:rPr>
        <w:t>Cannot say (depends on investor’s attitude -toward risk)</w:t>
      </w: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Pr="004D657B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zCs w:val="24"/>
        </w:rPr>
        <w:t>c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Fonts w:ascii="Arial" w:hAnsi="Arial" w:cs="Arial"/>
          <w:color w:val="auto"/>
          <w:sz w:val="24"/>
          <w:szCs w:val="24"/>
        </w:rPr>
        <w:t>Portfolio F (lower risk, same -expected return).</w:t>
      </w:r>
    </w:p>
    <w:p w:rsidR="00F00A36" w:rsidRDefault="00F00A36" w:rsidP="00F00A36">
      <w:pPr>
        <w:pStyle w:val="eaplnm"/>
        <w:spacing w:before="0"/>
        <w:ind w:left="576" w:hanging="576"/>
        <w:rPr>
          <w:rFonts w:cs="Arial"/>
          <w:color w:val="auto"/>
          <w:sz w:val="24"/>
          <w:szCs w:val="24"/>
        </w:rPr>
      </w:pPr>
      <w:r w:rsidRPr="004D657B">
        <w:rPr>
          <w:rFonts w:cs="Arial"/>
          <w:color w:val="auto"/>
          <w:sz w:val="24"/>
          <w:szCs w:val="24"/>
        </w:rPr>
        <w:t> </w:t>
      </w:r>
    </w:p>
    <w:p w:rsidR="00F00A36" w:rsidRPr="004D657B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Pr="004D657B" w:rsidRDefault="00F00A36" w:rsidP="00F00A36">
      <w:pPr>
        <w:pStyle w:val="eaplnm"/>
        <w:tabs>
          <w:tab w:val="left" w:pos="720"/>
        </w:tabs>
        <w:spacing w:before="0"/>
        <w:ind w:left="576" w:hanging="576"/>
        <w:rPr>
          <w:rStyle w:val="bold"/>
          <w:rFonts w:cs="Arial"/>
          <w:b w:val="0"/>
          <w:bCs w:val="0"/>
          <w:color w:val="auto"/>
          <w:szCs w:val="24"/>
        </w:rPr>
      </w:pPr>
      <w:r w:rsidRPr="004D657B">
        <w:rPr>
          <w:rStyle w:val="bold"/>
          <w:rFonts w:cs="Arial"/>
          <w:b w:val="0"/>
          <w:bCs w:val="0"/>
          <w:color w:val="auto"/>
          <w:szCs w:val="24"/>
        </w:rPr>
        <w:t xml:space="preserve">3.   </w:t>
      </w:r>
      <w:r>
        <w:rPr>
          <w:rStyle w:val="bold"/>
          <w:rFonts w:cs="Arial"/>
          <w:b w:val="0"/>
          <w:bCs w:val="0"/>
          <w:color w:val="auto"/>
          <w:szCs w:val="24"/>
        </w:rPr>
        <w:tab/>
      </w:r>
      <w:r>
        <w:rPr>
          <w:rStyle w:val="bold"/>
          <w:rFonts w:cs="Arial"/>
          <w:b w:val="0"/>
          <w:bCs w:val="0"/>
          <w:color w:val="auto"/>
          <w:szCs w:val="24"/>
        </w:rPr>
        <w:tab/>
      </w:r>
      <w:r>
        <w:rPr>
          <w:rStyle w:val="bold"/>
          <w:rFonts w:cs="Arial"/>
          <w:b w:val="0"/>
          <w:bCs w:val="0"/>
          <w:color w:val="auto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zCs w:val="24"/>
        </w:rPr>
        <w:t>Sharpe ratio = 7.1/20.2 = .35</w:t>
      </w:r>
      <w:r>
        <w:rPr>
          <w:rStyle w:val="bold"/>
          <w:rFonts w:cs="Arial"/>
          <w:b w:val="0"/>
          <w:bCs w:val="0"/>
          <w:color w:val="auto"/>
          <w:szCs w:val="24"/>
        </w:rPr>
        <w:t>1</w:t>
      </w:r>
    </w:p>
    <w:p w:rsidR="00F00A36" w:rsidRDefault="00F00A36" w:rsidP="00F00A36">
      <w:pPr>
        <w:pStyle w:val="eaplnm"/>
        <w:spacing w:before="0"/>
        <w:ind w:left="576" w:hanging="576"/>
        <w:rPr>
          <w:rStyle w:val="bold"/>
          <w:rFonts w:cs="Arial"/>
          <w:b w:val="0"/>
          <w:bCs w:val="0"/>
          <w:color w:val="auto"/>
          <w:szCs w:val="24"/>
        </w:rPr>
      </w:pPr>
    </w:p>
    <w:p w:rsidR="00F00A36" w:rsidRPr="004D657B" w:rsidRDefault="00F00A36" w:rsidP="00F00A36">
      <w:pPr>
        <w:pStyle w:val="eaplnm"/>
        <w:spacing w:before="0"/>
        <w:ind w:left="576" w:hanging="576"/>
        <w:rPr>
          <w:rStyle w:val="bold"/>
          <w:rFonts w:cs="Arial"/>
          <w:b w:val="0"/>
          <w:bCs w:val="0"/>
          <w:color w:val="auto"/>
          <w:szCs w:val="24"/>
        </w:rPr>
      </w:pP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 w:rsidRPr="004D657B">
        <w:rPr>
          <w:rStyle w:val="bold"/>
          <w:rFonts w:cs="Arial"/>
          <w:b w:val="0"/>
          <w:bCs w:val="0"/>
          <w:color w:val="auto"/>
          <w:szCs w:val="24"/>
        </w:rPr>
        <w:t>4.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zCs w:val="24"/>
        </w:rPr>
        <w:t>a.</w:t>
      </w:r>
      <w:r w:rsidRPr="004D657B">
        <w:rPr>
          <w:rFonts w:ascii="Arial" w:hAnsi="Arial" w:cs="Arial"/>
          <w:color w:val="auto"/>
          <w:sz w:val="24"/>
          <w:szCs w:val="24"/>
        </w:rPr>
        <w:tab/>
        <w:t xml:space="preserve">Figure 8.13b: Diversification reduces risk (e.g., a mixture of portfolios A </w:t>
      </w: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4D657B">
        <w:rPr>
          <w:rFonts w:ascii="Arial" w:hAnsi="Arial" w:cs="Arial"/>
          <w:color w:val="auto"/>
          <w:sz w:val="24"/>
          <w:szCs w:val="24"/>
        </w:rPr>
        <w:t>and</w:t>
      </w:r>
      <w:proofErr w:type="gramEnd"/>
      <w:r w:rsidRPr="004D657B">
        <w:rPr>
          <w:rFonts w:ascii="Arial" w:hAnsi="Arial" w:cs="Arial"/>
          <w:color w:val="auto"/>
          <w:sz w:val="24"/>
          <w:szCs w:val="24"/>
        </w:rPr>
        <w:t xml:space="preserve"> B would have less risk than the average of A and B).</w:t>
      </w:r>
    </w:p>
    <w:p w:rsidR="00F00A36" w:rsidRPr="004D657B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Default="00F00A36" w:rsidP="00F00A36">
      <w:pPr>
        <w:pStyle w:val="eapla"/>
        <w:tabs>
          <w:tab w:val="clear" w:pos="600"/>
        </w:tabs>
        <w:ind w:left="576" w:hanging="576"/>
        <w:rPr>
          <w:rFonts w:ascii="Arial" w:hAnsi="Arial" w:cs="Arial"/>
          <w:color w:val="auto"/>
          <w:sz w:val="24"/>
          <w:szCs w:val="24"/>
        </w:rPr>
      </w:pPr>
      <w:r w:rsidRPr="004D657B">
        <w:rPr>
          <w:rFonts w:ascii="Arial" w:hAnsi="Arial" w:cs="Arial"/>
          <w:color w:val="auto"/>
          <w:sz w:val="24"/>
          <w:szCs w:val="24"/>
        </w:rPr>
        <w:tab/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zCs w:val="24"/>
        </w:rPr>
        <w:t>b.</w:t>
      </w:r>
      <w:r w:rsidRPr="004D657B">
        <w:rPr>
          <w:rFonts w:ascii="Arial" w:hAnsi="Arial" w:cs="Arial"/>
          <w:color w:val="auto"/>
          <w:sz w:val="24"/>
          <w:szCs w:val="24"/>
        </w:rPr>
        <w:tab/>
        <w:t xml:space="preserve">Those along line </w:t>
      </w:r>
      <w:r w:rsidRPr="004D657B">
        <w:rPr>
          <w:rStyle w:val="italic"/>
          <w:rFonts w:ascii="Arial" w:hAnsi="Arial" w:cs="Arial"/>
          <w:i w:val="0"/>
          <w:iCs w:val="0"/>
          <w:color w:val="auto"/>
          <w:sz w:val="24"/>
          <w:szCs w:val="24"/>
        </w:rPr>
        <w:t>AB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in Figure 9.13a.</w:t>
      </w:r>
    </w:p>
    <w:p w:rsidR="00F00A36" w:rsidRPr="004D657B" w:rsidRDefault="00F00A36" w:rsidP="00F00A36">
      <w:pPr>
        <w:pStyle w:val="eapla"/>
        <w:tabs>
          <w:tab w:val="clear" w:pos="600"/>
        </w:tabs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:rsidR="00F00A36" w:rsidRDefault="00F00A36" w:rsidP="00F00A36">
      <w:pPr>
        <w:pStyle w:val="eapla"/>
        <w:numPr>
          <w:ilvl w:val="0"/>
          <w:numId w:val="18"/>
        </w:numPr>
        <w:tabs>
          <w:tab w:val="clear" w:pos="60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See Figure 2 below</w:t>
      </w:r>
    </w:p>
    <w:p w:rsidR="00F00A36" w:rsidRPr="004D657B" w:rsidRDefault="00F00A36" w:rsidP="00F00A36">
      <w:pPr>
        <w:pStyle w:val="eapla"/>
        <w:tabs>
          <w:tab w:val="clear" w:pos="600"/>
        </w:tabs>
        <w:ind w:left="72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Cambria" w:hAnsi="Cambria" w:cs="Palatino-Italic"/>
          <w:iCs/>
          <w:noProof/>
          <w:sz w:val="22"/>
          <w:szCs w:val="22"/>
        </w:rPr>
        <w:drawing>
          <wp:inline distT="0" distB="0" distL="0" distR="0">
            <wp:extent cx="2676525" cy="2486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36" w:rsidRDefault="00F00A36" w:rsidP="00F00A36">
      <w:pPr>
        <w:pStyle w:val="eaplnm"/>
        <w:spacing w:before="0"/>
        <w:ind w:left="576" w:hanging="576"/>
        <w:rPr>
          <w:rFonts w:cs="Arial"/>
          <w:color w:val="auto"/>
          <w:sz w:val="24"/>
          <w:szCs w:val="24"/>
        </w:rPr>
      </w:pPr>
      <w:r w:rsidRPr="004D657B">
        <w:rPr>
          <w:rFonts w:cs="Arial"/>
          <w:color w:val="auto"/>
          <w:sz w:val="24"/>
          <w:szCs w:val="24"/>
        </w:rPr>
        <w:t> </w:t>
      </w:r>
    </w:p>
    <w:p w:rsidR="00F00A36" w:rsidRPr="004D657B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Default="00F00A36" w:rsidP="00F00A36">
      <w:pPr>
        <w:pStyle w:val="eaplnm"/>
        <w:tabs>
          <w:tab w:val="clear" w:pos="600"/>
        </w:tabs>
        <w:spacing w:before="0"/>
        <w:rPr>
          <w:rFonts w:ascii="Arial" w:hAnsi="Arial" w:cs="Arial"/>
          <w:color w:val="auto"/>
          <w:spacing w:val="-1"/>
          <w:sz w:val="24"/>
          <w:szCs w:val="24"/>
        </w:rPr>
      </w:pPr>
      <w:r w:rsidRPr="004D657B">
        <w:rPr>
          <w:rStyle w:val="bold"/>
          <w:rFonts w:cs="Arial"/>
          <w:b w:val="0"/>
          <w:bCs w:val="0"/>
          <w:color w:val="auto"/>
          <w:szCs w:val="24"/>
        </w:rPr>
        <w:t>5.</w:t>
      </w:r>
      <w:r w:rsidRPr="004D657B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4D657B">
        <w:rPr>
          <w:rStyle w:val="bold"/>
          <w:rFonts w:cs="Arial"/>
          <w:b w:val="0"/>
          <w:bCs w:val="0"/>
          <w:color w:val="auto"/>
          <w:spacing w:val="-1"/>
          <w:szCs w:val="24"/>
        </w:rPr>
        <w:t>a</w:t>
      </w:r>
      <w:proofErr w:type="gramEnd"/>
      <w:r>
        <w:rPr>
          <w:rStyle w:val="bold"/>
          <w:rFonts w:cs="Arial"/>
          <w:b w:val="0"/>
          <w:bCs w:val="0"/>
          <w:color w:val="auto"/>
          <w:spacing w:val="-1"/>
          <w:szCs w:val="24"/>
        </w:rPr>
        <w:t>.</w:t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>See Figure 3</w:t>
      </w:r>
      <w:r>
        <w:rPr>
          <w:rFonts w:ascii="Arial" w:hAnsi="Arial" w:cs="Arial"/>
          <w:color w:val="auto"/>
          <w:spacing w:val="-1"/>
          <w:sz w:val="24"/>
          <w:szCs w:val="24"/>
        </w:rPr>
        <w:t xml:space="preserve"> below</w:t>
      </w:r>
    </w:p>
    <w:p w:rsidR="00F00A36" w:rsidRDefault="00F00A36" w:rsidP="00F00A36">
      <w:pPr>
        <w:pStyle w:val="eaplnm"/>
        <w:tabs>
          <w:tab w:val="clear" w:pos="600"/>
        </w:tabs>
        <w:spacing w:before="0"/>
        <w:rPr>
          <w:rFonts w:ascii="Arial" w:hAnsi="Arial" w:cs="Arial"/>
          <w:color w:val="auto"/>
          <w:spacing w:val="-1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>
        <w:rPr>
          <w:rFonts w:ascii="Cambria" w:hAnsi="Cambria" w:cs="Palatino-Italic"/>
          <w:iCs/>
          <w:noProof/>
          <w:sz w:val="22"/>
          <w:szCs w:val="22"/>
        </w:rPr>
        <w:drawing>
          <wp:inline distT="0" distB="0" distL="0" distR="0">
            <wp:extent cx="2686050" cy="27051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</w:p>
    <w:p w:rsidR="00F00A36" w:rsidRDefault="00F00A36" w:rsidP="00F00A36">
      <w:pPr>
        <w:pStyle w:val="eaplnm"/>
        <w:tabs>
          <w:tab w:val="clear" w:pos="600"/>
        </w:tabs>
        <w:spacing w:before="0"/>
        <w:rPr>
          <w:rFonts w:ascii="Arial" w:hAnsi="Arial" w:cs="Arial"/>
          <w:color w:val="auto"/>
          <w:spacing w:val="-1"/>
          <w:sz w:val="24"/>
          <w:szCs w:val="24"/>
        </w:rPr>
      </w:pPr>
    </w:p>
    <w:p w:rsidR="00F00A36" w:rsidRDefault="00F00A36" w:rsidP="00F00A36">
      <w:pPr>
        <w:pStyle w:val="eaplnm"/>
        <w:tabs>
          <w:tab w:val="clear" w:pos="600"/>
        </w:tabs>
        <w:spacing w:before="0"/>
        <w:rPr>
          <w:rFonts w:ascii="Arial" w:hAnsi="Arial" w:cs="Arial"/>
          <w:color w:val="auto"/>
          <w:spacing w:val="-1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pacing w:val="-1"/>
          <w:szCs w:val="24"/>
        </w:rPr>
        <w:t>b</w:t>
      </w:r>
      <w:r>
        <w:rPr>
          <w:rStyle w:val="bold"/>
          <w:rFonts w:cs="Arial"/>
          <w:b w:val="0"/>
          <w:bCs w:val="0"/>
          <w:color w:val="auto"/>
          <w:spacing w:val="-1"/>
          <w:szCs w:val="24"/>
        </w:rPr>
        <w:t>.</w:t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>A, D, G</w:t>
      </w:r>
    </w:p>
    <w:p w:rsidR="00F00A36" w:rsidRDefault="00F00A36" w:rsidP="00F00A36">
      <w:pPr>
        <w:pStyle w:val="eaplnm"/>
        <w:tabs>
          <w:tab w:val="clear" w:pos="600"/>
        </w:tabs>
        <w:spacing w:before="0"/>
        <w:rPr>
          <w:rFonts w:ascii="Arial" w:hAnsi="Arial" w:cs="Arial"/>
          <w:color w:val="auto"/>
          <w:spacing w:val="-1"/>
          <w:sz w:val="24"/>
          <w:szCs w:val="24"/>
        </w:rPr>
      </w:pPr>
    </w:p>
    <w:p w:rsidR="00F00A36" w:rsidRDefault="00F00A36" w:rsidP="00F00A36">
      <w:pPr>
        <w:pStyle w:val="eaplnm"/>
        <w:tabs>
          <w:tab w:val="clear" w:pos="600"/>
        </w:tabs>
        <w:spacing w:before="0"/>
        <w:rPr>
          <w:rFonts w:ascii="Arial" w:hAnsi="Arial" w:cs="Arial"/>
          <w:color w:val="auto"/>
          <w:spacing w:val="-1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pacing w:val="-1"/>
          <w:szCs w:val="24"/>
        </w:rPr>
        <w:t>c</w:t>
      </w:r>
      <w:r>
        <w:rPr>
          <w:rFonts w:ascii="Arial" w:hAnsi="Arial" w:cs="Arial"/>
          <w:color w:val="auto"/>
          <w:spacing w:val="-1"/>
          <w:sz w:val="24"/>
          <w:szCs w:val="24"/>
        </w:rPr>
        <w:t>.</w:t>
      </w: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>F</w:t>
      </w:r>
    </w:p>
    <w:p w:rsidR="00F00A36" w:rsidRDefault="00F00A36" w:rsidP="00F00A36">
      <w:pPr>
        <w:pStyle w:val="eaplnm"/>
        <w:tabs>
          <w:tab w:val="clear" w:pos="600"/>
        </w:tabs>
        <w:spacing w:before="0"/>
        <w:rPr>
          <w:rFonts w:ascii="Arial" w:hAnsi="Arial" w:cs="Arial"/>
          <w:color w:val="auto"/>
          <w:spacing w:val="-1"/>
          <w:sz w:val="24"/>
          <w:szCs w:val="24"/>
        </w:rPr>
      </w:pPr>
    </w:p>
    <w:p w:rsidR="00F00A36" w:rsidRDefault="00F00A36" w:rsidP="00F00A36">
      <w:pPr>
        <w:pStyle w:val="eaplnm"/>
        <w:tabs>
          <w:tab w:val="clear" w:pos="600"/>
        </w:tabs>
        <w:spacing w:before="0"/>
        <w:ind w:left="720" w:hanging="720"/>
        <w:rPr>
          <w:rFonts w:ascii="Arial" w:hAnsi="Arial" w:cs="Arial"/>
          <w:color w:val="auto"/>
          <w:spacing w:val="-1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proofErr w:type="gramStart"/>
      <w:r w:rsidRPr="004D657B">
        <w:rPr>
          <w:rStyle w:val="bold"/>
          <w:rFonts w:cs="Arial"/>
          <w:b w:val="0"/>
          <w:bCs w:val="0"/>
          <w:color w:val="auto"/>
          <w:spacing w:val="-1"/>
          <w:szCs w:val="24"/>
        </w:rPr>
        <w:t>d</w:t>
      </w:r>
      <w:r>
        <w:rPr>
          <w:rStyle w:val="bold"/>
          <w:rFonts w:cs="Arial"/>
          <w:b w:val="0"/>
          <w:bCs w:val="0"/>
          <w:color w:val="auto"/>
          <w:spacing w:val="-1"/>
          <w:szCs w:val="24"/>
        </w:rPr>
        <w:t>.</w:t>
      </w:r>
      <w:r>
        <w:rPr>
          <w:rFonts w:ascii="Arial" w:hAnsi="Arial" w:cs="Arial"/>
          <w:color w:val="auto"/>
          <w:spacing w:val="-1"/>
          <w:sz w:val="24"/>
          <w:szCs w:val="24"/>
        </w:rPr>
        <w:tab/>
        <w:t>15</w:t>
      </w:r>
      <w:proofErr w:type="gramEnd"/>
      <w:r>
        <w:rPr>
          <w:rFonts w:ascii="Arial" w:hAnsi="Arial" w:cs="Arial"/>
          <w:color w:val="auto"/>
          <w:spacing w:val="-1"/>
          <w:sz w:val="24"/>
          <w:szCs w:val="24"/>
        </w:rPr>
        <w:t>% in C</w:t>
      </w:r>
    </w:p>
    <w:p w:rsidR="00F00A36" w:rsidRDefault="00F00A36" w:rsidP="00F00A36">
      <w:pPr>
        <w:pStyle w:val="eaplnm"/>
        <w:tabs>
          <w:tab w:val="clear" w:pos="600"/>
        </w:tabs>
        <w:spacing w:before="0"/>
        <w:ind w:left="720" w:hanging="720"/>
        <w:rPr>
          <w:rFonts w:ascii="Arial" w:hAnsi="Arial" w:cs="Arial"/>
          <w:color w:val="auto"/>
          <w:spacing w:val="-1"/>
          <w:sz w:val="24"/>
          <w:szCs w:val="24"/>
        </w:rPr>
      </w:pPr>
      <w:r w:rsidRPr="004D657B">
        <w:rPr>
          <w:rFonts w:ascii="Arial" w:hAnsi="Arial" w:cs="Arial"/>
          <w:color w:val="auto"/>
          <w:spacing w:val="-1"/>
          <w:sz w:val="24"/>
          <w:szCs w:val="24"/>
        </w:rPr>
        <w:br/>
      </w:r>
      <w:proofErr w:type="gramStart"/>
      <w:r w:rsidRPr="004D657B">
        <w:rPr>
          <w:rStyle w:val="bold"/>
          <w:rFonts w:cs="Arial"/>
          <w:b w:val="0"/>
          <w:bCs w:val="0"/>
          <w:color w:val="auto"/>
          <w:spacing w:val="-1"/>
          <w:szCs w:val="24"/>
        </w:rPr>
        <w:t>e</w:t>
      </w:r>
      <w:proofErr w:type="gramEnd"/>
      <w:r>
        <w:rPr>
          <w:rStyle w:val="bold"/>
          <w:rFonts w:cs="Arial"/>
          <w:b w:val="0"/>
          <w:bCs w:val="0"/>
          <w:color w:val="auto"/>
          <w:spacing w:val="-1"/>
          <w:szCs w:val="24"/>
        </w:rPr>
        <w:t>.</w:t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 xml:space="preserve">Put 25/32 of your money in F and lend 7/32 at 12%: Expected return = 7/32 </w:t>
      </w:r>
    </w:p>
    <w:p w:rsidR="00F00A36" w:rsidRPr="004D657B" w:rsidRDefault="00F00A36" w:rsidP="00F00A36">
      <w:pPr>
        <w:pStyle w:val="eaplnm"/>
        <w:tabs>
          <w:tab w:val="clear" w:pos="600"/>
        </w:tabs>
        <w:spacing w:before="0"/>
        <w:ind w:left="1440" w:hanging="720"/>
        <w:rPr>
          <w:rFonts w:ascii="Arial" w:hAnsi="Arial" w:cs="Arial"/>
          <w:color w:val="auto"/>
          <w:spacing w:val="-1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ab/>
      </w:r>
      <w:r w:rsidRPr="009F5C44">
        <w:rPr>
          <w:rFonts w:ascii="Arial" w:hAnsi="Arial" w:cs="Arial"/>
          <w:color w:val="auto"/>
          <w:spacing w:val="-1"/>
          <w:sz w:val="24"/>
          <w:szCs w:val="24"/>
          <w:lang w:val="fr-FR"/>
        </w:rPr>
        <w:t xml:space="preserve">X 12 + 25/32 X 18 = 16.7%; standard </w:t>
      </w:r>
      <w:proofErr w:type="spellStart"/>
      <w:r w:rsidRPr="009F5C44">
        <w:rPr>
          <w:rFonts w:ascii="Arial" w:hAnsi="Arial" w:cs="Arial"/>
          <w:color w:val="auto"/>
          <w:spacing w:val="-1"/>
          <w:sz w:val="24"/>
          <w:szCs w:val="24"/>
          <w:lang w:val="fr-FR"/>
        </w:rPr>
        <w:t>deviation</w:t>
      </w:r>
      <w:proofErr w:type="spellEnd"/>
      <w:r w:rsidRPr="009F5C44">
        <w:rPr>
          <w:rFonts w:ascii="Arial" w:hAnsi="Arial" w:cs="Arial"/>
          <w:color w:val="auto"/>
          <w:spacing w:val="-1"/>
          <w:sz w:val="24"/>
          <w:szCs w:val="24"/>
          <w:lang w:val="fr-FR"/>
        </w:rPr>
        <w:t xml:space="preserve"> = 7/32 X 0 + (25/32) X 32 = 25%. </w:t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>If you could borrow without limit, you would achieve as high an expected return as you’d like, with corr</w:t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>spondingly high risk, of course.</w:t>
      </w:r>
    </w:p>
    <w:p w:rsidR="00F00A36" w:rsidRPr="004D657B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 w:rsidRPr="004D657B">
        <w:rPr>
          <w:rFonts w:cs="Arial"/>
          <w:color w:val="auto"/>
          <w:sz w:val="24"/>
          <w:szCs w:val="24"/>
        </w:rPr>
        <w:t> </w:t>
      </w:r>
    </w:p>
    <w:p w:rsidR="00F00A36" w:rsidRPr="009F5C44" w:rsidRDefault="00F00A36" w:rsidP="00F00A36">
      <w:pPr>
        <w:pStyle w:val="eaplnm"/>
        <w:tabs>
          <w:tab w:val="left" w:pos="720"/>
          <w:tab w:val="left" w:pos="1440"/>
        </w:tabs>
        <w:spacing w:before="0"/>
        <w:ind w:left="576" w:hanging="576"/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Style w:val="bold"/>
          <w:rFonts w:cs="Arial"/>
          <w:b w:val="0"/>
          <w:bCs w:val="0"/>
          <w:color w:val="auto"/>
          <w:szCs w:val="24"/>
          <w:lang w:val="sv-SE"/>
        </w:rPr>
        <w:br w:type="page"/>
      </w:r>
      <w:r w:rsidRPr="009F5C44">
        <w:rPr>
          <w:rStyle w:val="bold"/>
          <w:rFonts w:cs="Arial"/>
          <w:b w:val="0"/>
          <w:bCs w:val="0"/>
          <w:color w:val="auto"/>
          <w:szCs w:val="24"/>
          <w:lang w:val="sv-SE"/>
        </w:rPr>
        <w:lastRenderedPageBreak/>
        <w:t>6.</w:t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9F5C44">
        <w:rPr>
          <w:rStyle w:val="bold"/>
          <w:rFonts w:cs="Arial"/>
          <w:b w:val="0"/>
          <w:bCs w:val="0"/>
          <w:color w:val="auto"/>
          <w:szCs w:val="24"/>
          <w:lang w:val="sv-SE"/>
        </w:rPr>
        <w:t>a.</w:t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  <w:t>4 + (1.41 X 6) = 12.5%</w:t>
      </w:r>
    </w:p>
    <w:p w:rsidR="00F00A36" w:rsidRPr="009F5C44" w:rsidRDefault="00F00A36" w:rsidP="00F00A36">
      <w:pPr>
        <w:pStyle w:val="eaplnm"/>
        <w:tabs>
          <w:tab w:val="left" w:pos="720"/>
          <w:tab w:val="left" w:pos="1440"/>
        </w:tabs>
        <w:spacing w:before="0"/>
        <w:ind w:left="576" w:hanging="576"/>
        <w:rPr>
          <w:rFonts w:ascii="Arial" w:hAnsi="Arial" w:cs="Arial"/>
          <w:color w:val="auto"/>
          <w:sz w:val="24"/>
          <w:szCs w:val="24"/>
          <w:lang w:val="sv-SE"/>
        </w:rPr>
      </w:pPr>
    </w:p>
    <w:p w:rsidR="00F00A36" w:rsidRPr="009F5C44" w:rsidRDefault="00F00A36" w:rsidP="00F00A36">
      <w:pPr>
        <w:pStyle w:val="eapla"/>
        <w:ind w:left="576" w:hanging="576"/>
        <w:rPr>
          <w:rFonts w:ascii="Arial" w:hAnsi="Arial" w:cs="Arial"/>
          <w:color w:val="auto"/>
          <w:sz w:val="24"/>
          <w:szCs w:val="24"/>
          <w:lang w:val="sv-SE"/>
        </w:rPr>
      </w:pP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9F5C44">
        <w:rPr>
          <w:rStyle w:val="bold"/>
          <w:rFonts w:cs="Arial"/>
          <w:b w:val="0"/>
          <w:bCs w:val="0"/>
          <w:color w:val="auto"/>
          <w:szCs w:val="24"/>
          <w:lang w:val="sv-SE"/>
        </w:rPr>
        <w:t>b.</w:t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  <w:t>Amazon: 4 + (2.16 X 6) = 17.0%</w:t>
      </w:r>
    </w:p>
    <w:p w:rsidR="00F00A36" w:rsidRPr="009F5C44" w:rsidRDefault="00F00A36" w:rsidP="00F00A36">
      <w:pPr>
        <w:pStyle w:val="eapla"/>
        <w:ind w:left="576" w:hanging="576"/>
        <w:rPr>
          <w:rFonts w:ascii="Arial" w:hAnsi="Arial" w:cs="Arial"/>
          <w:color w:val="auto"/>
          <w:sz w:val="24"/>
          <w:szCs w:val="24"/>
          <w:lang w:val="sv-SE"/>
        </w:rPr>
      </w:pPr>
    </w:p>
    <w:p w:rsidR="00F00A36" w:rsidRDefault="00F00A36" w:rsidP="00F00A36">
      <w:pPr>
        <w:pStyle w:val="eapla"/>
        <w:ind w:left="576" w:hanging="576"/>
        <w:rPr>
          <w:rFonts w:ascii="Arial" w:hAnsi="Arial" w:cs="Arial"/>
          <w:color w:val="auto"/>
          <w:sz w:val="24"/>
          <w:szCs w:val="24"/>
        </w:rPr>
      </w:pP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9F5C44">
        <w:rPr>
          <w:rFonts w:ascii="Arial" w:hAnsi="Arial" w:cs="Arial"/>
          <w:color w:val="auto"/>
          <w:sz w:val="24"/>
          <w:szCs w:val="24"/>
          <w:lang w:val="sv-SE"/>
        </w:rPr>
        <w:tab/>
      </w:r>
      <w:r w:rsidRPr="004D657B">
        <w:rPr>
          <w:rStyle w:val="bold"/>
          <w:rFonts w:cs="Arial"/>
          <w:b w:val="0"/>
          <w:bCs w:val="0"/>
          <w:color w:val="auto"/>
          <w:szCs w:val="24"/>
        </w:rPr>
        <w:t>c.</w:t>
      </w:r>
      <w:r w:rsidRPr="004D657B">
        <w:rPr>
          <w:rFonts w:ascii="Arial" w:hAnsi="Arial" w:cs="Arial"/>
          <w:color w:val="auto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auto"/>
              <w:sz w:val="24"/>
              <w:szCs w:val="24"/>
            </w:rPr>
            <w:t>Campbell</w:t>
          </w:r>
        </w:smartTag>
      </w:smartTag>
      <w:r>
        <w:rPr>
          <w:rFonts w:ascii="Arial" w:hAnsi="Arial" w:cs="Arial"/>
          <w:color w:val="auto"/>
          <w:sz w:val="24"/>
          <w:szCs w:val="24"/>
        </w:rPr>
        <w:t xml:space="preserve"> Soup</w:t>
      </w:r>
      <w:r w:rsidRPr="004D657B">
        <w:rPr>
          <w:rFonts w:ascii="Arial" w:hAnsi="Arial" w:cs="Arial"/>
          <w:color w:val="auto"/>
          <w:sz w:val="24"/>
          <w:szCs w:val="24"/>
        </w:rPr>
        <w:t>: 4 + (.3</w:t>
      </w:r>
      <w:r>
        <w:rPr>
          <w:rFonts w:ascii="Arial" w:hAnsi="Arial" w:cs="Arial"/>
          <w:color w:val="auto"/>
          <w:sz w:val="24"/>
          <w:szCs w:val="24"/>
        </w:rPr>
        <w:t>0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X 6) = 5.8</w:t>
      </w:r>
      <w:r>
        <w:rPr>
          <w:rFonts w:ascii="Arial" w:hAnsi="Arial" w:cs="Arial"/>
          <w:color w:val="auto"/>
          <w:sz w:val="24"/>
          <w:szCs w:val="24"/>
        </w:rPr>
        <w:t>%</w:t>
      </w:r>
    </w:p>
    <w:p w:rsidR="00F00A36" w:rsidRPr="004D657B" w:rsidRDefault="00F00A36" w:rsidP="00F00A36">
      <w:pPr>
        <w:pStyle w:val="eapla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Default="00F00A36" w:rsidP="00F00A36">
      <w:pPr>
        <w:pStyle w:val="eapla"/>
        <w:ind w:left="576" w:hanging="576"/>
        <w:rPr>
          <w:rFonts w:ascii="Arial" w:hAnsi="Arial" w:cs="Arial"/>
          <w:color w:val="auto"/>
          <w:spacing w:val="-3"/>
          <w:sz w:val="24"/>
          <w:szCs w:val="24"/>
        </w:rPr>
      </w:pPr>
      <w:r w:rsidRPr="004D657B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zCs w:val="24"/>
        </w:rPr>
        <w:t>d.</w:t>
      </w:r>
      <w:r w:rsidRPr="004D657B"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Fonts w:ascii="Arial" w:hAnsi="Arial" w:cs="Arial"/>
          <w:color w:val="auto"/>
          <w:spacing w:val="-3"/>
          <w:sz w:val="24"/>
          <w:szCs w:val="24"/>
        </w:rPr>
        <w:t xml:space="preserve">Lower. If interest rate is 4%, </w:t>
      </w:r>
      <w:r w:rsidRPr="004D657B">
        <w:rPr>
          <w:rStyle w:val="italic"/>
          <w:rFonts w:ascii="Arial" w:hAnsi="Arial" w:cs="Arial"/>
          <w:i w:val="0"/>
          <w:iCs w:val="0"/>
          <w:color w:val="auto"/>
          <w:spacing w:val="-3"/>
          <w:sz w:val="24"/>
          <w:szCs w:val="24"/>
        </w:rPr>
        <w:t>r</w:t>
      </w:r>
      <w:r w:rsidRPr="004D657B">
        <w:rPr>
          <w:rFonts w:ascii="Arial" w:hAnsi="Arial" w:cs="Arial"/>
          <w:color w:val="auto"/>
          <w:spacing w:val="-3"/>
          <w:sz w:val="24"/>
          <w:szCs w:val="24"/>
        </w:rPr>
        <w:t xml:space="preserve"> = 4 + (1.75 X 6) = 14.5%; if rate = 6%, </w:t>
      </w:r>
      <w:r w:rsidRPr="004D657B">
        <w:rPr>
          <w:rStyle w:val="italic"/>
          <w:rFonts w:ascii="Arial" w:hAnsi="Arial" w:cs="Arial"/>
          <w:i w:val="0"/>
          <w:iCs w:val="0"/>
          <w:color w:val="auto"/>
          <w:spacing w:val="-3"/>
          <w:sz w:val="24"/>
          <w:szCs w:val="24"/>
        </w:rPr>
        <w:t>r</w:t>
      </w:r>
      <w:r w:rsidRPr="004D657B">
        <w:rPr>
          <w:rFonts w:ascii="Arial" w:hAnsi="Arial" w:cs="Arial"/>
          <w:color w:val="auto"/>
          <w:spacing w:val="-3"/>
          <w:sz w:val="24"/>
          <w:szCs w:val="24"/>
        </w:rPr>
        <w:t xml:space="preserve"> = 6 + </w:t>
      </w:r>
    </w:p>
    <w:p w:rsidR="00F00A36" w:rsidRDefault="00F00A36" w:rsidP="00F00A36">
      <w:pPr>
        <w:pStyle w:val="eapla"/>
        <w:ind w:left="576" w:hanging="576"/>
        <w:rPr>
          <w:rFonts w:ascii="Arial" w:hAnsi="Arial" w:cs="Arial"/>
          <w:color w:val="auto"/>
          <w:spacing w:val="-3"/>
          <w:sz w:val="24"/>
          <w:szCs w:val="24"/>
        </w:rPr>
      </w:pPr>
      <w:r>
        <w:rPr>
          <w:rFonts w:ascii="Arial" w:hAnsi="Arial" w:cs="Arial"/>
          <w:color w:val="auto"/>
          <w:spacing w:val="-3"/>
          <w:sz w:val="24"/>
          <w:szCs w:val="24"/>
        </w:rPr>
        <w:tab/>
      </w:r>
      <w:r>
        <w:rPr>
          <w:rFonts w:ascii="Arial" w:hAnsi="Arial" w:cs="Arial"/>
          <w:color w:val="auto"/>
          <w:spacing w:val="-3"/>
          <w:sz w:val="24"/>
          <w:szCs w:val="24"/>
        </w:rPr>
        <w:tab/>
      </w:r>
      <w:r>
        <w:rPr>
          <w:rFonts w:ascii="Arial" w:hAnsi="Arial" w:cs="Arial"/>
          <w:color w:val="auto"/>
          <w:spacing w:val="-3"/>
          <w:sz w:val="24"/>
          <w:szCs w:val="24"/>
        </w:rPr>
        <w:tab/>
      </w:r>
      <w:r>
        <w:rPr>
          <w:rFonts w:ascii="Arial" w:hAnsi="Arial" w:cs="Arial"/>
          <w:color w:val="auto"/>
          <w:spacing w:val="-3"/>
          <w:sz w:val="24"/>
          <w:szCs w:val="24"/>
        </w:rPr>
        <w:tab/>
      </w:r>
      <w:r>
        <w:rPr>
          <w:rFonts w:ascii="Arial" w:hAnsi="Arial" w:cs="Arial"/>
          <w:color w:val="auto"/>
          <w:spacing w:val="-3"/>
          <w:sz w:val="24"/>
          <w:szCs w:val="24"/>
        </w:rPr>
        <w:tab/>
      </w:r>
      <w:r w:rsidRPr="004D657B">
        <w:rPr>
          <w:rFonts w:ascii="Arial" w:hAnsi="Arial" w:cs="Arial"/>
          <w:color w:val="auto"/>
          <w:spacing w:val="-3"/>
          <w:sz w:val="24"/>
          <w:szCs w:val="24"/>
        </w:rPr>
        <w:t>(1.75 X 4) = 13.0</w:t>
      </w:r>
      <w:r>
        <w:rPr>
          <w:rFonts w:ascii="Arial" w:hAnsi="Arial" w:cs="Arial"/>
          <w:color w:val="auto"/>
          <w:spacing w:val="-3"/>
          <w:sz w:val="24"/>
          <w:szCs w:val="24"/>
        </w:rPr>
        <w:t>%</w:t>
      </w:r>
    </w:p>
    <w:p w:rsidR="00F00A36" w:rsidRPr="004D657B" w:rsidRDefault="00F00A36" w:rsidP="00F00A36">
      <w:pPr>
        <w:pStyle w:val="eapla"/>
        <w:ind w:left="576" w:hanging="576"/>
        <w:rPr>
          <w:rFonts w:ascii="Arial" w:hAnsi="Arial" w:cs="Arial"/>
          <w:color w:val="auto"/>
          <w:spacing w:val="-3"/>
          <w:sz w:val="24"/>
          <w:szCs w:val="24"/>
        </w:rPr>
      </w:pPr>
    </w:p>
    <w:p w:rsidR="00F00A36" w:rsidRDefault="00F00A36" w:rsidP="00F00A36">
      <w:pPr>
        <w:pStyle w:val="eapla"/>
        <w:ind w:left="576" w:hanging="576"/>
        <w:rPr>
          <w:rFonts w:ascii="Arial" w:hAnsi="Arial" w:cs="Arial"/>
          <w:color w:val="auto"/>
          <w:sz w:val="24"/>
          <w:szCs w:val="24"/>
        </w:rPr>
      </w:pPr>
      <w:r w:rsidRPr="004D657B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pacing w:val="-1"/>
          <w:szCs w:val="24"/>
        </w:rPr>
        <w:t>e.</w:t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ab/>
        <w:t xml:space="preserve">Higher. If interest rate is 4%, </w:t>
      </w:r>
      <w:r w:rsidRPr="004D657B">
        <w:rPr>
          <w:rStyle w:val="italic"/>
          <w:rFonts w:ascii="Arial" w:hAnsi="Arial" w:cs="Arial"/>
          <w:i w:val="0"/>
          <w:iCs w:val="0"/>
          <w:color w:val="auto"/>
          <w:spacing w:val="-1"/>
          <w:sz w:val="24"/>
          <w:szCs w:val="24"/>
        </w:rPr>
        <w:t>r</w:t>
      </w:r>
      <w:r w:rsidRPr="004D657B">
        <w:rPr>
          <w:rFonts w:ascii="Arial" w:hAnsi="Arial" w:cs="Arial"/>
          <w:color w:val="auto"/>
          <w:spacing w:val="-1"/>
          <w:sz w:val="24"/>
          <w:szCs w:val="24"/>
        </w:rPr>
        <w:t xml:space="preserve"> = 4 + (.55 X 6) =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7.3%; if rate = 6%, </w:t>
      </w:r>
      <w:r w:rsidRPr="004D657B">
        <w:rPr>
          <w:rStyle w:val="italic"/>
          <w:rFonts w:ascii="Arial" w:hAnsi="Arial" w:cs="Arial"/>
          <w:i w:val="0"/>
          <w:iCs w:val="0"/>
          <w:color w:val="auto"/>
          <w:sz w:val="24"/>
          <w:szCs w:val="24"/>
        </w:rPr>
        <w:t>r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= 6 + </w:t>
      </w:r>
    </w:p>
    <w:p w:rsidR="00F00A36" w:rsidRPr="004D657B" w:rsidRDefault="00F00A36" w:rsidP="00F00A36">
      <w:pPr>
        <w:pStyle w:val="eapla"/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Fonts w:ascii="Arial" w:hAnsi="Arial" w:cs="Arial"/>
          <w:color w:val="auto"/>
          <w:sz w:val="24"/>
          <w:szCs w:val="24"/>
        </w:rPr>
        <w:t>(.55 X 4) 5 8.2</w:t>
      </w:r>
      <w:r>
        <w:rPr>
          <w:rFonts w:ascii="Arial" w:hAnsi="Arial" w:cs="Arial"/>
          <w:color w:val="auto"/>
          <w:sz w:val="24"/>
          <w:szCs w:val="24"/>
        </w:rPr>
        <w:t>%</w:t>
      </w:r>
    </w:p>
    <w:p w:rsidR="00F00A36" w:rsidRDefault="00F00A36" w:rsidP="00F00A36">
      <w:pPr>
        <w:pStyle w:val="eaplnm"/>
        <w:spacing w:before="0"/>
        <w:ind w:left="576" w:hanging="576"/>
        <w:rPr>
          <w:rFonts w:cs="Arial"/>
          <w:color w:val="auto"/>
          <w:sz w:val="24"/>
          <w:szCs w:val="24"/>
        </w:rPr>
      </w:pPr>
      <w:r w:rsidRPr="004D657B">
        <w:rPr>
          <w:rFonts w:cs="Arial"/>
          <w:color w:val="auto"/>
          <w:sz w:val="24"/>
          <w:szCs w:val="24"/>
        </w:rPr>
        <w:t> </w:t>
      </w:r>
    </w:p>
    <w:p w:rsidR="00F00A36" w:rsidRPr="004D657B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 w:rsidRPr="004D657B">
        <w:rPr>
          <w:rStyle w:val="bold"/>
          <w:rFonts w:cs="Arial"/>
          <w:b w:val="0"/>
          <w:bCs w:val="0"/>
          <w:color w:val="auto"/>
          <w:szCs w:val="24"/>
        </w:rPr>
        <w:t>7.</w:t>
      </w:r>
      <w:r w:rsidRPr="004D657B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4D657B">
        <w:rPr>
          <w:rStyle w:val="bold"/>
          <w:rFonts w:cs="Arial"/>
          <w:b w:val="0"/>
          <w:bCs w:val="0"/>
          <w:color w:val="auto"/>
          <w:szCs w:val="24"/>
        </w:rPr>
        <w:t>a</w:t>
      </w:r>
      <w:proofErr w:type="gramEnd"/>
      <w:r>
        <w:rPr>
          <w:rFonts w:ascii="Arial" w:hAnsi="Arial" w:cs="Arial"/>
          <w:color w:val="auto"/>
          <w:sz w:val="24"/>
          <w:szCs w:val="24"/>
        </w:rPr>
        <w:t>.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Fonts w:ascii="Arial" w:hAnsi="Arial" w:cs="Arial"/>
          <w:color w:val="auto"/>
          <w:sz w:val="24"/>
          <w:szCs w:val="24"/>
        </w:rPr>
        <w:t>True</w:t>
      </w: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4D657B">
        <w:rPr>
          <w:rStyle w:val="bold"/>
          <w:rFonts w:cs="Arial"/>
          <w:b w:val="0"/>
          <w:bCs w:val="0"/>
          <w:color w:val="auto"/>
          <w:szCs w:val="24"/>
        </w:rPr>
        <w:t>b</w:t>
      </w:r>
      <w:proofErr w:type="gramEnd"/>
      <w:r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ab/>
        <w:t>F</w:t>
      </w:r>
      <w:r w:rsidRPr="004D657B">
        <w:rPr>
          <w:rFonts w:ascii="Arial" w:hAnsi="Arial" w:cs="Arial"/>
          <w:color w:val="auto"/>
          <w:sz w:val="24"/>
          <w:szCs w:val="24"/>
        </w:rPr>
        <w:t xml:space="preserve">alse (it offers twice the market </w:t>
      </w:r>
      <w:r w:rsidRPr="004D657B">
        <w:rPr>
          <w:rStyle w:val="italic"/>
          <w:rFonts w:ascii="Arial" w:hAnsi="Arial" w:cs="Arial"/>
          <w:i w:val="0"/>
          <w:iCs w:val="0"/>
          <w:color w:val="auto"/>
          <w:sz w:val="24"/>
          <w:szCs w:val="24"/>
        </w:rPr>
        <w:t>risk premium</w:t>
      </w:r>
      <w:r w:rsidRPr="004D657B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Pr="004D657B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zCs w:val="24"/>
        </w:rPr>
        <w:t>c</w:t>
      </w:r>
      <w:r>
        <w:rPr>
          <w:rStyle w:val="bold"/>
          <w:rFonts w:cs="Arial"/>
          <w:b w:val="0"/>
          <w:bCs w:val="0"/>
          <w:color w:val="auto"/>
          <w:szCs w:val="24"/>
        </w:rPr>
        <w:t>.</w:t>
      </w:r>
      <w:r>
        <w:rPr>
          <w:rStyle w:val="bold"/>
          <w:rFonts w:cs="Arial"/>
          <w:b w:val="0"/>
          <w:bCs w:val="0"/>
          <w:color w:val="auto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False</w:t>
      </w:r>
    </w:p>
    <w:p w:rsidR="00F00A36" w:rsidRDefault="00F00A36" w:rsidP="00F00A36">
      <w:pPr>
        <w:pStyle w:val="eaplnm"/>
        <w:spacing w:before="0"/>
        <w:ind w:left="576" w:hanging="576"/>
        <w:rPr>
          <w:rFonts w:cs="Arial"/>
          <w:color w:val="auto"/>
          <w:sz w:val="24"/>
          <w:szCs w:val="24"/>
        </w:rPr>
      </w:pPr>
      <w:r w:rsidRPr="004D657B">
        <w:rPr>
          <w:rFonts w:cs="Arial"/>
          <w:color w:val="auto"/>
          <w:sz w:val="24"/>
          <w:szCs w:val="24"/>
        </w:rPr>
        <w:t> </w:t>
      </w:r>
    </w:p>
    <w:p w:rsidR="00F00A36" w:rsidRPr="004D657B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z w:val="24"/>
          <w:szCs w:val="24"/>
        </w:rPr>
      </w:pPr>
    </w:p>
    <w:p w:rsidR="00F00A36" w:rsidRDefault="00F00A36" w:rsidP="00F00A36">
      <w:pPr>
        <w:pStyle w:val="eaplnm"/>
        <w:tabs>
          <w:tab w:val="left" w:pos="720"/>
        </w:tabs>
        <w:spacing w:before="0"/>
        <w:ind w:left="576" w:hanging="576"/>
        <w:rPr>
          <w:rFonts w:ascii="Arial" w:hAnsi="Arial" w:cs="Arial"/>
          <w:color w:val="auto"/>
          <w:spacing w:val="-2"/>
          <w:sz w:val="24"/>
          <w:szCs w:val="24"/>
        </w:rPr>
      </w:pPr>
      <w:r w:rsidRPr="004D657B">
        <w:rPr>
          <w:rStyle w:val="bold"/>
          <w:rFonts w:cs="Arial"/>
          <w:b w:val="0"/>
          <w:bCs w:val="0"/>
          <w:color w:val="auto"/>
          <w:szCs w:val="24"/>
        </w:rPr>
        <w:t>8.</w:t>
      </w:r>
      <w:r w:rsidRPr="004D657B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proofErr w:type="gramStart"/>
      <w:r w:rsidRPr="004D657B">
        <w:rPr>
          <w:rStyle w:val="bold"/>
          <w:rFonts w:cs="Arial"/>
          <w:b w:val="0"/>
          <w:bCs w:val="0"/>
          <w:color w:val="auto"/>
          <w:spacing w:val="-2"/>
          <w:szCs w:val="24"/>
        </w:rPr>
        <w:t>a</w:t>
      </w:r>
      <w:proofErr w:type="gramEnd"/>
      <w:r>
        <w:rPr>
          <w:rFonts w:ascii="Arial" w:hAnsi="Arial" w:cs="Arial"/>
          <w:color w:val="auto"/>
          <w:spacing w:val="-2"/>
          <w:sz w:val="24"/>
          <w:szCs w:val="24"/>
        </w:rPr>
        <w:t>.</w:t>
      </w:r>
      <w:r w:rsidRPr="004D657B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 w:rsidRPr="004D657B">
        <w:rPr>
          <w:rFonts w:ascii="Arial" w:hAnsi="Arial" w:cs="Arial"/>
          <w:color w:val="auto"/>
          <w:spacing w:val="-2"/>
          <w:sz w:val="24"/>
          <w:szCs w:val="24"/>
        </w:rPr>
        <w:t>7%</w:t>
      </w:r>
    </w:p>
    <w:p w:rsidR="00F00A36" w:rsidRDefault="00F00A36" w:rsidP="00F00A36">
      <w:pPr>
        <w:pStyle w:val="eaplnm"/>
        <w:tabs>
          <w:tab w:val="left" w:pos="720"/>
        </w:tabs>
        <w:spacing w:before="0"/>
        <w:ind w:left="576" w:hanging="576"/>
        <w:rPr>
          <w:rFonts w:ascii="Arial" w:hAnsi="Arial" w:cs="Arial"/>
          <w:color w:val="auto"/>
          <w:spacing w:val="-2"/>
          <w:sz w:val="24"/>
          <w:szCs w:val="24"/>
        </w:rPr>
      </w:pP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pacing w:val="-2"/>
          <w:sz w:val="24"/>
          <w:szCs w:val="24"/>
        </w:rPr>
      </w:pP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pacing w:val="-2"/>
          <w:szCs w:val="24"/>
        </w:rPr>
        <w:t>b</w:t>
      </w:r>
      <w:r>
        <w:rPr>
          <w:rFonts w:ascii="Arial" w:hAnsi="Arial" w:cs="Arial"/>
          <w:color w:val="auto"/>
          <w:spacing w:val="-2"/>
          <w:sz w:val="24"/>
          <w:szCs w:val="24"/>
        </w:rPr>
        <w:t>.</w:t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 w:rsidRPr="004D657B">
        <w:rPr>
          <w:rFonts w:ascii="Arial" w:hAnsi="Arial" w:cs="Arial"/>
          <w:color w:val="auto"/>
          <w:spacing w:val="-2"/>
          <w:sz w:val="24"/>
          <w:szCs w:val="24"/>
        </w:rPr>
        <w:t>7 + 1(5) + 1(-1) + 1(2) = 13%</w:t>
      </w: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pacing w:val="-2"/>
          <w:sz w:val="24"/>
          <w:szCs w:val="24"/>
        </w:rPr>
      </w:pP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pacing w:val="-2"/>
          <w:sz w:val="24"/>
          <w:szCs w:val="24"/>
        </w:rPr>
      </w:pP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pacing w:val="-2"/>
          <w:szCs w:val="24"/>
        </w:rPr>
        <w:t>c</w:t>
      </w:r>
      <w:r>
        <w:rPr>
          <w:rFonts w:ascii="Arial" w:hAnsi="Arial" w:cs="Arial"/>
          <w:color w:val="auto"/>
          <w:spacing w:val="-2"/>
          <w:sz w:val="24"/>
          <w:szCs w:val="24"/>
        </w:rPr>
        <w:t>.</w:t>
      </w:r>
      <w:r w:rsidRPr="004D657B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 w:rsidRPr="004D657B">
        <w:rPr>
          <w:rFonts w:ascii="Arial" w:hAnsi="Arial" w:cs="Arial"/>
          <w:color w:val="auto"/>
          <w:spacing w:val="-2"/>
          <w:sz w:val="24"/>
          <w:szCs w:val="24"/>
        </w:rPr>
        <w:t>7 + 0(5) + 2(-1) + 0(2) = 5%</w:t>
      </w:r>
    </w:p>
    <w:p w:rsidR="00F00A36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pacing w:val="-2"/>
          <w:sz w:val="24"/>
          <w:szCs w:val="24"/>
        </w:rPr>
      </w:pPr>
    </w:p>
    <w:p w:rsidR="00F00A36" w:rsidRPr="004D657B" w:rsidRDefault="00F00A36" w:rsidP="00F00A36">
      <w:pPr>
        <w:pStyle w:val="eaplnm"/>
        <w:spacing w:before="0"/>
        <w:ind w:left="576" w:hanging="576"/>
        <w:rPr>
          <w:rFonts w:ascii="Arial" w:hAnsi="Arial" w:cs="Arial"/>
          <w:color w:val="auto"/>
          <w:spacing w:val="-2"/>
          <w:sz w:val="24"/>
          <w:szCs w:val="24"/>
        </w:rPr>
      </w:pP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 w:rsidRPr="004D657B">
        <w:rPr>
          <w:rStyle w:val="bold"/>
          <w:rFonts w:cs="Arial"/>
          <w:b w:val="0"/>
          <w:bCs w:val="0"/>
          <w:color w:val="auto"/>
          <w:spacing w:val="-2"/>
          <w:szCs w:val="24"/>
        </w:rPr>
        <w:t>d</w:t>
      </w:r>
      <w:r>
        <w:rPr>
          <w:rStyle w:val="bold"/>
          <w:rFonts w:cs="Arial"/>
          <w:b w:val="0"/>
          <w:bCs w:val="0"/>
          <w:color w:val="auto"/>
          <w:spacing w:val="-2"/>
          <w:szCs w:val="24"/>
        </w:rPr>
        <w:t>.</w:t>
      </w:r>
      <w:r w:rsidRPr="004D657B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auto"/>
          <w:spacing w:val="-2"/>
          <w:sz w:val="24"/>
          <w:szCs w:val="24"/>
        </w:rPr>
        <w:tab/>
      </w:r>
      <w:r w:rsidRPr="004D657B">
        <w:rPr>
          <w:rFonts w:ascii="Arial" w:hAnsi="Arial" w:cs="Arial"/>
          <w:color w:val="auto"/>
          <w:spacing w:val="-2"/>
          <w:sz w:val="24"/>
          <w:szCs w:val="24"/>
        </w:rPr>
        <w:t>7 + 1(5) + (-1.5</w:t>
      </w:r>
      <w:proofErr w:type="gramStart"/>
      <w:r w:rsidRPr="004D657B">
        <w:rPr>
          <w:rFonts w:ascii="Arial" w:hAnsi="Arial" w:cs="Arial"/>
          <w:color w:val="auto"/>
          <w:spacing w:val="-2"/>
          <w:sz w:val="24"/>
          <w:szCs w:val="24"/>
        </w:rPr>
        <w:t>)(</w:t>
      </w:r>
      <w:proofErr w:type="gramEnd"/>
      <w:r w:rsidRPr="004D657B">
        <w:rPr>
          <w:rFonts w:ascii="Arial" w:hAnsi="Arial" w:cs="Arial"/>
          <w:color w:val="auto"/>
          <w:spacing w:val="-2"/>
          <w:sz w:val="24"/>
          <w:szCs w:val="24"/>
        </w:rPr>
        <w:t>-1) + 1(2) = 15.5%.</w:t>
      </w:r>
    </w:p>
    <w:p w:rsidR="00F00A36" w:rsidRDefault="00F00A36" w:rsidP="00F00A36">
      <w:pPr>
        <w:rPr>
          <w:rFonts w:ascii="Cambria" w:hAnsi="Cambria" w:cs="Palatino-Italic"/>
          <w:iCs/>
          <w:sz w:val="22"/>
          <w:szCs w:val="22"/>
        </w:rPr>
      </w:pPr>
    </w:p>
    <w:p w:rsidR="00F00A36" w:rsidRDefault="00F00A36" w:rsidP="00F00A36"/>
    <w:p w:rsidR="00F00A36" w:rsidRDefault="00F00A36" w:rsidP="00F00A36">
      <w:pPr>
        <w:pStyle w:val="BodyTextIndent3"/>
        <w:tabs>
          <w:tab w:val="clear" w:pos="1440"/>
        </w:tabs>
        <w:spacing w:after="120"/>
      </w:pPr>
      <w:r>
        <w:t>9.</w:t>
      </w:r>
      <w:r>
        <w:tab/>
        <w:t>a.</w:t>
      </w:r>
      <w:r>
        <w:tab/>
        <w:t xml:space="preserve">False – investors demand higher expected rates of return on stocks with more </w:t>
      </w:r>
      <w:proofErr w:type="spellStart"/>
      <w:r>
        <w:t>nondiversifiable</w:t>
      </w:r>
      <w:proofErr w:type="spellEnd"/>
      <w:r>
        <w:t xml:space="preserve"> risk.</w:t>
      </w:r>
    </w:p>
    <w:p w:rsidR="00F00A36" w:rsidRDefault="00F00A36" w:rsidP="00F00A36">
      <w:pPr>
        <w:numPr>
          <w:ilvl w:val="0"/>
          <w:numId w:val="1"/>
        </w:numPr>
        <w:tabs>
          <w:tab w:val="clear" w:pos="1440"/>
        </w:tabs>
        <w:spacing w:after="120"/>
      </w:pPr>
      <w:r>
        <w:t>False – a security with a beta of zero will offer the risk-free rate of return.</w:t>
      </w:r>
    </w:p>
    <w:p w:rsidR="00F00A36" w:rsidRDefault="00F00A36" w:rsidP="00F00A36">
      <w:pPr>
        <w:numPr>
          <w:ilvl w:val="0"/>
          <w:numId w:val="1"/>
        </w:numPr>
        <w:tabs>
          <w:tab w:val="clear" w:pos="1440"/>
        </w:tabs>
        <w:spacing w:after="120"/>
      </w:pPr>
      <w:r>
        <w:t xml:space="preserve">False – the beta will be: (1/3 </w:t>
      </w:r>
      <w:r>
        <w:sym w:font="Symbol" w:char="F0B4"/>
      </w:r>
      <w:r>
        <w:t xml:space="preserve"> 0) + (2/3 </w:t>
      </w:r>
      <w:r>
        <w:sym w:font="Symbol" w:char="F0B4"/>
      </w:r>
      <w:r>
        <w:t xml:space="preserve"> 1) = 0.67</w:t>
      </w:r>
    </w:p>
    <w:p w:rsidR="00F00A36" w:rsidRDefault="00F00A36" w:rsidP="00F00A36">
      <w:pPr>
        <w:numPr>
          <w:ilvl w:val="0"/>
          <w:numId w:val="1"/>
        </w:numPr>
        <w:tabs>
          <w:tab w:val="clear" w:pos="1440"/>
        </w:tabs>
        <w:spacing w:after="120"/>
      </w:pPr>
      <w:r>
        <w:t>True</w:t>
      </w:r>
    </w:p>
    <w:p w:rsidR="00F00A36" w:rsidRDefault="00F00A36" w:rsidP="00F00A36">
      <w:pPr>
        <w:numPr>
          <w:ilvl w:val="0"/>
          <w:numId w:val="1"/>
        </w:numPr>
        <w:tabs>
          <w:tab w:val="clear" w:pos="1440"/>
        </w:tabs>
      </w:pPr>
      <w:r>
        <w:t>True</w:t>
      </w:r>
    </w:p>
    <w:p w:rsidR="00F00A36" w:rsidRDefault="00F00A36" w:rsidP="00F00A36"/>
    <w:p w:rsidR="00F00A36" w:rsidRDefault="00F00A36" w:rsidP="00F00A36"/>
    <w:p w:rsidR="00F00A36" w:rsidRDefault="00F00A36" w:rsidP="00F00A36">
      <w:pPr>
        <w:spacing w:after="120"/>
        <w:ind w:left="720" w:hanging="720"/>
      </w:pPr>
      <w:r>
        <w:t>10.</w:t>
      </w:r>
      <w:r>
        <w:tab/>
        <w:t>In the following solution, security one is Campbell Soup and security two is Boeing.  Then:</w:t>
      </w:r>
    </w:p>
    <w:p w:rsidR="00F00A36" w:rsidRDefault="00F00A36" w:rsidP="00F00A36">
      <w:pPr>
        <w:tabs>
          <w:tab w:val="left" w:pos="2880"/>
        </w:tabs>
        <w:spacing w:line="360" w:lineRule="auto"/>
        <w:ind w:left="1440"/>
      </w:pPr>
      <w:r>
        <w:t>r</w:t>
      </w:r>
      <w:r>
        <w:rPr>
          <w:vertAlign w:val="subscript"/>
        </w:rPr>
        <w:t>1</w:t>
      </w:r>
      <w:r>
        <w:t xml:space="preserve"> = 0.031</w:t>
      </w:r>
      <w:r>
        <w:tab/>
      </w:r>
      <w:r>
        <w:sym w:font="Symbol" w:char="F073"/>
      </w:r>
      <w:r>
        <w:rPr>
          <w:vertAlign w:val="subscript"/>
        </w:rPr>
        <w:t>1</w:t>
      </w:r>
      <w:r>
        <w:t xml:space="preserve"> = 0.158</w:t>
      </w:r>
    </w:p>
    <w:p w:rsidR="00F00A36" w:rsidRDefault="00F00A36" w:rsidP="00F00A36">
      <w:pPr>
        <w:tabs>
          <w:tab w:val="left" w:pos="2880"/>
        </w:tabs>
        <w:spacing w:line="360" w:lineRule="auto"/>
        <w:ind w:left="1440"/>
      </w:pPr>
      <w:r>
        <w:t>r</w:t>
      </w:r>
      <w:r>
        <w:rPr>
          <w:vertAlign w:val="subscript"/>
        </w:rPr>
        <w:t>2</w:t>
      </w:r>
      <w:r>
        <w:t xml:space="preserve"> = 0.095</w:t>
      </w:r>
      <w:r>
        <w:tab/>
      </w:r>
      <w:r>
        <w:sym w:font="Symbol" w:char="F073"/>
      </w:r>
      <w:r>
        <w:rPr>
          <w:vertAlign w:val="subscript"/>
        </w:rPr>
        <w:t>2</w:t>
      </w:r>
      <w:r>
        <w:t xml:space="preserve"> = 0.237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360" w:lineRule="auto"/>
        <w:ind w:left="720"/>
      </w:pPr>
      <w:r>
        <w:br w:type="page"/>
      </w:r>
      <w:r>
        <w:lastRenderedPageBreak/>
        <w:t>Further, we know that for a two-security portfolio:</w:t>
      </w:r>
    </w:p>
    <w:p w:rsidR="00F00A36" w:rsidRPr="009F5C44" w:rsidRDefault="00F00A36" w:rsidP="00F00A36">
      <w:pPr>
        <w:tabs>
          <w:tab w:val="left" w:pos="720"/>
          <w:tab w:val="left" w:pos="1440"/>
        </w:tabs>
        <w:spacing w:line="360" w:lineRule="auto"/>
        <w:ind w:left="1440"/>
        <w:rPr>
          <w:lang w:val="pt-BR"/>
        </w:rPr>
      </w:pPr>
      <w:r w:rsidRPr="009F5C44">
        <w:rPr>
          <w:lang w:val="pt-BR"/>
        </w:rPr>
        <w:t>r</w:t>
      </w:r>
      <w:r w:rsidRPr="009F5C44">
        <w:rPr>
          <w:vertAlign w:val="subscript"/>
          <w:lang w:val="pt-BR"/>
        </w:rPr>
        <w:t>p</w:t>
      </w:r>
      <w:r w:rsidRPr="009F5C44">
        <w:rPr>
          <w:lang w:val="pt-BR"/>
        </w:rPr>
        <w:t xml:space="preserve"> = x</w:t>
      </w:r>
      <w:r w:rsidRPr="009F5C44">
        <w:rPr>
          <w:vertAlign w:val="subscript"/>
          <w:lang w:val="pt-BR"/>
        </w:rPr>
        <w:t>1</w:t>
      </w:r>
      <w:r w:rsidRPr="009F5C44">
        <w:rPr>
          <w:lang w:val="pt-BR"/>
        </w:rPr>
        <w:t>r</w:t>
      </w:r>
      <w:r w:rsidRPr="009F5C44">
        <w:rPr>
          <w:vertAlign w:val="subscript"/>
          <w:lang w:val="pt-BR"/>
        </w:rPr>
        <w:t>1</w:t>
      </w:r>
      <w:r w:rsidRPr="009F5C44">
        <w:rPr>
          <w:lang w:val="pt-BR"/>
        </w:rPr>
        <w:t xml:space="preserve"> + x</w:t>
      </w:r>
      <w:r w:rsidRPr="009F5C44">
        <w:rPr>
          <w:vertAlign w:val="subscript"/>
          <w:lang w:val="pt-BR"/>
        </w:rPr>
        <w:t>2</w:t>
      </w:r>
      <w:r w:rsidRPr="009F5C44">
        <w:rPr>
          <w:lang w:val="pt-BR"/>
        </w:rPr>
        <w:t>r</w:t>
      </w:r>
      <w:r w:rsidRPr="009F5C44">
        <w:rPr>
          <w:vertAlign w:val="subscript"/>
          <w:lang w:val="pt-BR"/>
        </w:rPr>
        <w:t>2</w:t>
      </w:r>
    </w:p>
    <w:p w:rsidR="00F00A36" w:rsidRPr="009F5C44" w:rsidRDefault="00F00A36" w:rsidP="00F00A36">
      <w:pPr>
        <w:tabs>
          <w:tab w:val="left" w:pos="720"/>
          <w:tab w:val="left" w:pos="1440"/>
        </w:tabs>
        <w:spacing w:line="360" w:lineRule="auto"/>
        <w:ind w:left="1440"/>
        <w:rPr>
          <w:lang w:val="pt-BR"/>
        </w:rPr>
      </w:pPr>
      <w:r>
        <w:sym w:font="Symbol" w:char="F073"/>
      </w:r>
      <w:r w:rsidRPr="009F5C44">
        <w:rPr>
          <w:vertAlign w:val="subscript"/>
          <w:lang w:val="pt-BR"/>
        </w:rPr>
        <w:t>p</w:t>
      </w:r>
      <w:r w:rsidRPr="009F5C44">
        <w:rPr>
          <w:vertAlign w:val="superscript"/>
          <w:lang w:val="pt-BR"/>
        </w:rPr>
        <w:t>2</w:t>
      </w:r>
      <w:r w:rsidRPr="009F5C44">
        <w:rPr>
          <w:lang w:val="pt-BR"/>
        </w:rPr>
        <w:t xml:space="preserve"> = x</w:t>
      </w:r>
      <w:r w:rsidRPr="009F5C44">
        <w:rPr>
          <w:vertAlign w:val="subscript"/>
          <w:lang w:val="pt-BR"/>
        </w:rPr>
        <w:t>1</w:t>
      </w:r>
      <w:r w:rsidRPr="009F5C44">
        <w:rPr>
          <w:vertAlign w:val="superscript"/>
          <w:lang w:val="pt-BR"/>
        </w:rPr>
        <w:t>2</w:t>
      </w:r>
      <w:r>
        <w:sym w:font="Symbol" w:char="F073"/>
      </w:r>
      <w:r w:rsidRPr="009F5C44">
        <w:rPr>
          <w:vertAlign w:val="subscript"/>
          <w:lang w:val="pt-BR"/>
        </w:rPr>
        <w:t>1</w:t>
      </w:r>
      <w:r w:rsidRPr="009F5C44">
        <w:rPr>
          <w:vertAlign w:val="superscript"/>
          <w:lang w:val="pt-BR"/>
        </w:rPr>
        <w:t>2</w:t>
      </w:r>
      <w:r w:rsidRPr="009F5C44">
        <w:rPr>
          <w:lang w:val="pt-BR"/>
        </w:rPr>
        <w:t xml:space="preserve"> + 2x</w:t>
      </w:r>
      <w:r w:rsidRPr="009F5C44">
        <w:rPr>
          <w:vertAlign w:val="subscript"/>
          <w:lang w:val="pt-BR"/>
        </w:rPr>
        <w:t>1</w:t>
      </w:r>
      <w:r w:rsidRPr="009F5C44">
        <w:rPr>
          <w:lang w:val="pt-BR"/>
        </w:rPr>
        <w:t>x</w:t>
      </w:r>
      <w:r w:rsidRPr="009F5C44">
        <w:rPr>
          <w:vertAlign w:val="subscript"/>
          <w:lang w:val="pt-BR"/>
        </w:rPr>
        <w:t>2</w:t>
      </w:r>
      <w:r>
        <w:sym w:font="Symbol" w:char="F073"/>
      </w:r>
      <w:r w:rsidRPr="009F5C44">
        <w:rPr>
          <w:vertAlign w:val="subscript"/>
          <w:lang w:val="pt-BR"/>
        </w:rPr>
        <w:t>1</w:t>
      </w:r>
      <w:r>
        <w:sym w:font="Symbol" w:char="F073"/>
      </w:r>
      <w:r w:rsidRPr="009F5C44">
        <w:rPr>
          <w:vertAlign w:val="subscript"/>
          <w:lang w:val="pt-BR"/>
        </w:rPr>
        <w:t>2</w:t>
      </w:r>
      <w:r>
        <w:sym w:font="Symbol" w:char="F072"/>
      </w:r>
      <w:r w:rsidRPr="009F5C44">
        <w:rPr>
          <w:vertAlign w:val="subscript"/>
          <w:lang w:val="pt-BR"/>
        </w:rPr>
        <w:t>12</w:t>
      </w:r>
      <w:r w:rsidRPr="009F5C44">
        <w:rPr>
          <w:lang w:val="pt-BR"/>
        </w:rPr>
        <w:t xml:space="preserve"> + x</w:t>
      </w:r>
      <w:r w:rsidRPr="009F5C44">
        <w:rPr>
          <w:vertAlign w:val="subscript"/>
          <w:lang w:val="pt-BR"/>
        </w:rPr>
        <w:t>2</w:t>
      </w:r>
      <w:r w:rsidRPr="009F5C44">
        <w:rPr>
          <w:vertAlign w:val="superscript"/>
          <w:lang w:val="pt-BR"/>
        </w:rPr>
        <w:t>2</w:t>
      </w:r>
      <w:r>
        <w:sym w:font="Symbol" w:char="F073"/>
      </w:r>
      <w:r w:rsidRPr="009F5C44">
        <w:rPr>
          <w:vertAlign w:val="subscript"/>
          <w:lang w:val="pt-BR"/>
        </w:rPr>
        <w:t>2</w:t>
      </w:r>
      <w:r w:rsidRPr="009F5C44">
        <w:rPr>
          <w:vertAlign w:val="superscript"/>
          <w:lang w:val="pt-BR"/>
        </w:rPr>
        <w:t xml:space="preserve">2 </w:t>
      </w:r>
    </w:p>
    <w:p w:rsidR="00F00A36" w:rsidRDefault="00F00A36" w:rsidP="00F00A36">
      <w:pPr>
        <w:spacing w:line="360" w:lineRule="auto"/>
        <w:ind w:left="720"/>
      </w:pPr>
      <w:r>
        <w:t>Therefore, we have the following results:</w:t>
      </w:r>
    </w:p>
    <w:p w:rsidR="00F00A36" w:rsidRDefault="00F00A36" w:rsidP="00F00A36"/>
    <w:tbl>
      <w:tblPr>
        <w:tblW w:w="7640" w:type="dxa"/>
        <w:tblInd w:w="870" w:type="dxa"/>
        <w:tblLook w:val="04A0"/>
      </w:tblPr>
      <w:tblGrid>
        <w:gridCol w:w="1340"/>
        <w:gridCol w:w="1880"/>
        <w:gridCol w:w="1340"/>
        <w:gridCol w:w="1420"/>
        <w:gridCol w:w="1660"/>
      </w:tblGrid>
      <w:tr w:rsidR="00F00A36" w:rsidRPr="00571491" w:rsidTr="00B06CF2">
        <w:trPr>
          <w:trHeight w:val="390"/>
        </w:trPr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x</w:t>
            </w:r>
            <w:r w:rsidRPr="00571491">
              <w:rPr>
                <w:rFonts w:cs="Arial"/>
                <w:color w:val="000000"/>
                <w:szCs w:val="24"/>
                <w:vertAlign w:val="subscript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x</w:t>
            </w:r>
            <w:r w:rsidRPr="00571491">
              <w:rPr>
                <w:rFonts w:cs="Arial"/>
                <w:color w:val="000000"/>
                <w:szCs w:val="24"/>
                <w:vertAlign w:val="subscript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proofErr w:type="spellStart"/>
            <w:r w:rsidRPr="00571491">
              <w:rPr>
                <w:rFonts w:cs="Arial"/>
                <w:color w:val="000000"/>
                <w:szCs w:val="24"/>
              </w:rPr>
              <w:t>r</w:t>
            </w:r>
            <w:r w:rsidRPr="00571491">
              <w:rPr>
                <w:rFonts w:cs="Arial"/>
                <w:color w:val="000000"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ascii="Symbol" w:hAnsi="Symbol"/>
                <w:color w:val="000000"/>
                <w:szCs w:val="24"/>
              </w:rPr>
            </w:pPr>
            <w:r w:rsidRPr="00571491">
              <w:rPr>
                <w:rFonts w:ascii="Symbol" w:hAnsi="Symbol"/>
                <w:color w:val="000000"/>
                <w:szCs w:val="24"/>
              </w:rPr>
              <w:sym w:font="Symbol" w:char="0073"/>
            </w:r>
            <w:r w:rsidRPr="00571491">
              <w:rPr>
                <w:rFonts w:cs="Arial"/>
                <w:color w:val="000000"/>
                <w:szCs w:val="24"/>
                <w:vertAlign w:val="subscript"/>
              </w:rPr>
              <w:sym w:font="Symbol" w:char="0070"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A36" w:rsidRPr="00571491" w:rsidRDefault="00F00A36" w:rsidP="00B06CF2">
            <w:pPr>
              <w:jc w:val="center"/>
              <w:rPr>
                <w:rFonts w:ascii="Symbol" w:hAnsi="Symbol"/>
                <w:color w:val="000000"/>
                <w:szCs w:val="24"/>
              </w:rPr>
            </w:pPr>
            <w:r w:rsidRPr="00571491">
              <w:rPr>
                <w:rFonts w:ascii="Symbol" w:hAnsi="Symbol"/>
                <w:color w:val="000000"/>
                <w:szCs w:val="24"/>
              </w:rPr>
              <w:sym w:font="Symbol" w:char="0073"/>
            </w:r>
            <w:r w:rsidRPr="00571491">
              <w:rPr>
                <w:rFonts w:cs="Arial"/>
                <w:color w:val="000000"/>
                <w:szCs w:val="24"/>
                <w:vertAlign w:val="subscript"/>
              </w:rPr>
              <w:sym w:font="Symbol" w:char="0070"/>
            </w:r>
          </w:p>
        </w:tc>
      </w:tr>
      <w:tr w:rsidR="00F00A36" w:rsidRPr="00571491" w:rsidTr="00B06CF2">
        <w:trPr>
          <w:trHeight w:val="420"/>
        </w:trPr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00A36" w:rsidRPr="00571491" w:rsidRDefault="00F00A36" w:rsidP="00B06CF2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00A36" w:rsidRPr="00571491" w:rsidRDefault="00F00A36" w:rsidP="00B06CF2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00A36" w:rsidRPr="00571491" w:rsidRDefault="00F00A36" w:rsidP="00B06CF2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 xml:space="preserve">when </w:t>
            </w:r>
            <w:r w:rsidRPr="00571491">
              <w:rPr>
                <w:rFonts w:ascii="Symbol" w:hAnsi="Symbol" w:cs="Arial"/>
                <w:color w:val="000000"/>
                <w:szCs w:val="24"/>
              </w:rPr>
              <w:t></w:t>
            </w:r>
            <w:r w:rsidRPr="00571491">
              <w:rPr>
                <w:rFonts w:cs="Arial"/>
                <w:color w:val="000000"/>
                <w:szCs w:val="24"/>
              </w:rPr>
              <w:t xml:space="preserve"> = 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 xml:space="preserve">when </w:t>
            </w:r>
            <w:r w:rsidRPr="00571491">
              <w:rPr>
                <w:rFonts w:ascii="Symbol" w:hAnsi="Symbol" w:cs="Arial"/>
                <w:color w:val="000000"/>
                <w:szCs w:val="24"/>
              </w:rPr>
              <w:t></w:t>
            </w:r>
            <w:r w:rsidRPr="00571491">
              <w:rPr>
                <w:rFonts w:cs="Arial"/>
                <w:color w:val="000000"/>
                <w:szCs w:val="24"/>
              </w:rPr>
              <w:t xml:space="preserve"> = 0.5</w:t>
            </w:r>
          </w:p>
        </w:tc>
      </w:tr>
      <w:tr w:rsidR="00F00A36" w:rsidRPr="00571491" w:rsidTr="00B06CF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3.10%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0.02496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0.02496</w:t>
            </w:r>
          </w:p>
        </w:tc>
      </w:tr>
      <w:tr w:rsidR="00F00A36" w:rsidRPr="00571491" w:rsidTr="00B06CF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3.74%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0.02078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0.02415</w:t>
            </w:r>
          </w:p>
        </w:tc>
      </w:tr>
      <w:tr w:rsidR="00F00A36" w:rsidRPr="00571491" w:rsidTr="00B06CF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4.38%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0.01822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0.02422</w:t>
            </w:r>
          </w:p>
        </w:tc>
      </w:tr>
      <w:tr w:rsidR="00F00A36" w:rsidRPr="00571491" w:rsidTr="00B06CF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5.02%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0.01729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0.02515</w:t>
            </w:r>
          </w:p>
        </w:tc>
      </w:tr>
      <w:tr w:rsidR="00F00A36" w:rsidRPr="00571491" w:rsidTr="00B06CF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5.66%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0.01797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0.02696</w:t>
            </w:r>
          </w:p>
        </w:tc>
      </w:tr>
      <w:tr w:rsidR="00F00A36" w:rsidRPr="00571491" w:rsidTr="00B06CF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6.30%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0.02028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0.02964</w:t>
            </w:r>
          </w:p>
        </w:tc>
      </w:tr>
      <w:tr w:rsidR="00F00A36" w:rsidRPr="00571491" w:rsidTr="00B06CF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6.94%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0.02422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0.03320</w:t>
            </w:r>
          </w:p>
        </w:tc>
      </w:tr>
      <w:tr w:rsidR="00F00A36" w:rsidRPr="00571491" w:rsidTr="00B06CF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7.58%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0.02977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0.03763</w:t>
            </w:r>
          </w:p>
        </w:tc>
      </w:tr>
      <w:tr w:rsidR="00F00A36" w:rsidRPr="00571491" w:rsidTr="00B06CF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8.22%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0.03695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0.04294</w:t>
            </w:r>
          </w:p>
        </w:tc>
      </w:tr>
      <w:tr w:rsidR="00F00A36" w:rsidRPr="00571491" w:rsidTr="00B06CF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8.86%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0.04575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0.04912</w:t>
            </w:r>
          </w:p>
        </w:tc>
      </w:tr>
      <w:tr w:rsidR="00F00A36" w:rsidRPr="00571491" w:rsidTr="00B06CF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9.50%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0.05617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36" w:rsidRPr="00571491" w:rsidRDefault="00F00A36" w:rsidP="00B06CF2">
            <w:pPr>
              <w:jc w:val="center"/>
              <w:rPr>
                <w:rFonts w:cs="Arial"/>
                <w:color w:val="000000"/>
                <w:szCs w:val="24"/>
              </w:rPr>
            </w:pPr>
            <w:r w:rsidRPr="00571491">
              <w:rPr>
                <w:rFonts w:cs="Arial"/>
                <w:color w:val="000000"/>
                <w:szCs w:val="24"/>
              </w:rPr>
              <w:t>0.05617</w:t>
            </w:r>
          </w:p>
        </w:tc>
      </w:tr>
    </w:tbl>
    <w:p w:rsidR="00F00A36" w:rsidRDefault="00F00A36" w:rsidP="00F00A36">
      <w:pPr>
        <w:rPr>
          <w:noProof/>
        </w:rPr>
      </w:pPr>
    </w:p>
    <w:p w:rsidR="00F00A36" w:rsidRDefault="00F00A36" w:rsidP="00F00A36">
      <w:pPr>
        <w:rPr>
          <w:noProof/>
        </w:rPr>
      </w:pPr>
      <w:r>
        <w:rPr>
          <w:noProof/>
        </w:rPr>
        <w:tab/>
      </w:r>
    </w:p>
    <w:p w:rsidR="00F00A36" w:rsidRDefault="00F00A36" w:rsidP="00F00A36">
      <w:pPr>
        <w:rPr>
          <w:noProof/>
        </w:rPr>
      </w:pPr>
    </w:p>
    <w:p w:rsidR="00F00A36" w:rsidRPr="00AB6038" w:rsidRDefault="00F00A36" w:rsidP="00F00A36">
      <w:r>
        <w:rPr>
          <w:noProof/>
        </w:rPr>
        <w:tab/>
      </w: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0A36" w:rsidRPr="00AB6038" w:rsidRDefault="00F00A36" w:rsidP="00F00A36">
      <w:r>
        <w:br w:type="page"/>
      </w:r>
      <w:r>
        <w:rPr>
          <w:noProof/>
        </w:rPr>
        <w:lastRenderedPageBreak/>
        <w:drawing>
          <wp:inline distT="0" distB="0" distL="0" distR="0">
            <wp:extent cx="4487379" cy="2509031"/>
            <wp:effectExtent l="11964" t="5569" r="5982" b="0"/>
            <wp:docPr id="5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A36" w:rsidRDefault="00F00A36" w:rsidP="00F00A36"/>
    <w:p w:rsidR="00F00A36" w:rsidRDefault="00F00A36" w:rsidP="00F00A36"/>
    <w:p w:rsidR="00F00A36" w:rsidRDefault="00F00A36" w:rsidP="00F00A36">
      <w:pPr>
        <w:ind w:left="720" w:hanging="720"/>
      </w:pPr>
      <w:r>
        <w:t>11.</w:t>
      </w:r>
      <w:r>
        <w:tab/>
      </w:r>
      <w:proofErr w:type="gramStart"/>
      <w:r>
        <w:t>a</w:t>
      </w:r>
      <w:proofErr w:type="gramEnd"/>
      <w:r>
        <w:t>.</w:t>
      </w:r>
    </w:p>
    <w:tbl>
      <w:tblPr>
        <w:tblW w:w="0" w:type="auto"/>
        <w:tblInd w:w="15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E"/>
      </w:tblPr>
      <w:tblGrid>
        <w:gridCol w:w="1260"/>
        <w:gridCol w:w="1125"/>
        <w:gridCol w:w="1125"/>
      </w:tblGrid>
      <w:tr w:rsidR="00F00A36" w:rsidTr="00B06C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260" w:type="dxa"/>
            <w:tcBorders>
              <w:bottom w:val="single" w:sz="4" w:space="0" w:color="auto"/>
            </w:tcBorders>
          </w:tcPr>
          <w:p w:rsidR="00F00A36" w:rsidRPr="00E06173" w:rsidRDefault="00F00A36" w:rsidP="00B06CF2">
            <w:pPr>
              <w:pStyle w:val="Heading3"/>
              <w:rPr>
                <w:u w:val="none"/>
              </w:rPr>
            </w:pPr>
            <w:r w:rsidRPr="00E06173">
              <w:rPr>
                <w:u w:val="none"/>
              </w:rPr>
              <w:t>Portfolio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00A36" w:rsidRPr="00E06173" w:rsidRDefault="00F00A36" w:rsidP="00B06CF2">
            <w:pPr>
              <w:pStyle w:val="Heading3"/>
              <w:rPr>
                <w:u w:val="none"/>
              </w:rPr>
            </w:pPr>
            <w:proofErr w:type="gramStart"/>
            <w:r w:rsidRPr="00E06173">
              <w:rPr>
                <w:u w:val="none"/>
              </w:rPr>
              <w:t>r</w:t>
            </w:r>
            <w:proofErr w:type="gramEnd"/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00A36" w:rsidRPr="00E06173" w:rsidRDefault="00F00A36" w:rsidP="00B06CF2">
            <w:pPr>
              <w:jc w:val="center"/>
            </w:pPr>
            <w:r w:rsidRPr="00E06173">
              <w:sym w:font="Symbol" w:char="F073"/>
            </w:r>
          </w:p>
        </w:tc>
      </w:tr>
      <w:tr w:rsidR="00F00A36" w:rsidTr="00B06CF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60" w:type="dxa"/>
            <w:tcBorders>
              <w:top w:val="single" w:sz="4" w:space="0" w:color="auto"/>
            </w:tcBorders>
          </w:tcPr>
          <w:p w:rsidR="00F00A36" w:rsidRDefault="00F00A36" w:rsidP="00B06CF2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00A36" w:rsidRDefault="00F00A36" w:rsidP="00B06CF2">
            <w:pPr>
              <w:pStyle w:val="Header"/>
              <w:tabs>
                <w:tab w:val="clear" w:pos="4320"/>
                <w:tab w:val="clear" w:pos="8640"/>
                <w:tab w:val="decimal" w:pos="432"/>
              </w:tabs>
            </w:pPr>
            <w:r>
              <w:t>10.0%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00A36" w:rsidRDefault="00F00A36" w:rsidP="00B06CF2">
            <w:pPr>
              <w:pStyle w:val="Header"/>
              <w:tabs>
                <w:tab w:val="clear" w:pos="4320"/>
                <w:tab w:val="clear" w:pos="8640"/>
                <w:tab w:val="decimal" w:pos="387"/>
              </w:tabs>
            </w:pPr>
            <w:r>
              <w:t>5.1%</w:t>
            </w:r>
          </w:p>
        </w:tc>
      </w:tr>
      <w:tr w:rsidR="00F00A36" w:rsidTr="00B06CF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60" w:type="dxa"/>
          </w:tcPr>
          <w:p w:rsidR="00F00A36" w:rsidRDefault="00F00A36" w:rsidP="00B06CF2">
            <w:pPr>
              <w:jc w:val="center"/>
            </w:pPr>
            <w:r>
              <w:t>2</w:t>
            </w:r>
          </w:p>
        </w:tc>
        <w:tc>
          <w:tcPr>
            <w:tcW w:w="1125" w:type="dxa"/>
          </w:tcPr>
          <w:p w:rsidR="00F00A36" w:rsidRDefault="00F00A36" w:rsidP="00B06CF2">
            <w:pPr>
              <w:tabs>
                <w:tab w:val="decimal" w:pos="432"/>
              </w:tabs>
            </w:pPr>
            <w:r>
              <w:t>9.0</w:t>
            </w:r>
          </w:p>
        </w:tc>
        <w:tc>
          <w:tcPr>
            <w:tcW w:w="1125" w:type="dxa"/>
          </w:tcPr>
          <w:p w:rsidR="00F00A36" w:rsidRDefault="00F00A36" w:rsidP="00B06CF2">
            <w:pPr>
              <w:tabs>
                <w:tab w:val="decimal" w:pos="387"/>
              </w:tabs>
            </w:pPr>
            <w:r>
              <w:t>4.6</w:t>
            </w:r>
          </w:p>
        </w:tc>
      </w:tr>
      <w:tr w:rsidR="00F00A36" w:rsidTr="00B06CF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60" w:type="dxa"/>
          </w:tcPr>
          <w:p w:rsidR="00F00A36" w:rsidRDefault="00F00A36" w:rsidP="00B06CF2">
            <w:pPr>
              <w:jc w:val="center"/>
            </w:pPr>
            <w:r>
              <w:t>3</w:t>
            </w:r>
          </w:p>
        </w:tc>
        <w:tc>
          <w:tcPr>
            <w:tcW w:w="1125" w:type="dxa"/>
          </w:tcPr>
          <w:p w:rsidR="00F00A36" w:rsidRDefault="00F00A36" w:rsidP="00B06CF2">
            <w:pPr>
              <w:tabs>
                <w:tab w:val="decimal" w:pos="432"/>
              </w:tabs>
            </w:pPr>
            <w:r>
              <w:t>11.0</w:t>
            </w:r>
          </w:p>
        </w:tc>
        <w:tc>
          <w:tcPr>
            <w:tcW w:w="1125" w:type="dxa"/>
          </w:tcPr>
          <w:p w:rsidR="00F00A36" w:rsidRDefault="00F00A36" w:rsidP="00B06CF2">
            <w:pPr>
              <w:tabs>
                <w:tab w:val="decimal" w:pos="387"/>
              </w:tabs>
            </w:pPr>
            <w:r>
              <w:t>6.4</w:t>
            </w:r>
          </w:p>
        </w:tc>
      </w:tr>
    </w:tbl>
    <w:p w:rsidR="00F00A36" w:rsidRDefault="00F00A36" w:rsidP="00F00A36"/>
    <w:p w:rsidR="00F00A36" w:rsidRDefault="00F00A36" w:rsidP="00F00A36">
      <w:pPr>
        <w:numPr>
          <w:ilvl w:val="0"/>
          <w:numId w:val="3"/>
        </w:numPr>
        <w:tabs>
          <w:tab w:val="clear" w:pos="1440"/>
        </w:tabs>
      </w:pPr>
      <w:r>
        <w:t>See the figure below.  The set of portfolios is represented by the curved line.  The five points are the three portfolios from Part (a) plus the following two portfolios: one consists of 100% invested in X and the other consists of 100% invested in Y.</w:t>
      </w:r>
    </w:p>
    <w:p w:rsidR="00F00A36" w:rsidRDefault="00F00A36" w:rsidP="00F00A36"/>
    <w:p w:rsidR="00F00A36" w:rsidRDefault="00F00A36" w:rsidP="00F00A36">
      <w:pPr>
        <w:pStyle w:val="BodyTextIndent3"/>
        <w:numPr>
          <w:ilvl w:val="0"/>
          <w:numId w:val="3"/>
        </w:numPr>
        <w:tabs>
          <w:tab w:val="clear" w:pos="720"/>
          <w:tab w:val="clear" w:pos="14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05pt;margin-top:70.55pt;width:297.45pt;height:205.9pt;z-index:251660288">
            <v:textbox style="mso-next-textbox:#_x0000_s1026">
              <w:txbxContent>
                <w:p w:rsidR="00F00A36" w:rsidRDefault="00F00A36" w:rsidP="00F00A36">
                  <w:r>
                    <w:object w:dxaOrig="6281" w:dyaOrig="42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8.5pt;height:201.75pt" o:ole="" filled="t">
                        <v:imagedata r:id="rId10" o:title=""/>
                      </v:shape>
                      <o:OLEObject Type="Embed" ProgID="Word.Picture.8" ShapeID="_x0000_i1025" DrawAspect="Content" ObjectID="_1355990384" r:id="rId11"/>
                    </w:object>
                  </w:r>
                </w:p>
              </w:txbxContent>
            </v:textbox>
            <w10:wrap type="topAndBottom"/>
          </v:shape>
        </w:pict>
      </w:r>
      <w:r>
        <w:t xml:space="preserve">See the figure below.  The best opportunities lie along the straight line.  From the diagram, the optimal portfolio of risky assets is portfolio 1, and so Mr. </w:t>
      </w:r>
      <w:proofErr w:type="spellStart"/>
      <w:r>
        <w:t>Harrywitz</w:t>
      </w:r>
      <w:proofErr w:type="spellEnd"/>
      <w:r>
        <w:t xml:space="preserve"> should invest 50 percent in X and 50 percent in Y.</w:t>
      </w:r>
    </w:p>
    <w:p w:rsidR="00F00A36" w:rsidRDefault="00F00A36" w:rsidP="00F00A36"/>
    <w:p w:rsidR="00F00A36" w:rsidRDefault="00F00A36" w:rsidP="00F00A36">
      <w:r>
        <w:br w:type="page"/>
      </w:r>
    </w:p>
    <w:p w:rsidR="00F00A36" w:rsidRDefault="00F00A36" w:rsidP="00F00A36">
      <w:pPr>
        <w:tabs>
          <w:tab w:val="left" w:pos="720"/>
          <w:tab w:val="left" w:pos="1440"/>
        </w:tabs>
        <w:spacing w:after="120"/>
        <w:ind w:left="720" w:hanging="720"/>
      </w:pPr>
      <w:r>
        <w:lastRenderedPageBreak/>
        <w:t>12.</w:t>
      </w:r>
      <w:r>
        <w:tab/>
        <w:t>a.</w:t>
      </w:r>
      <w:r>
        <w:tab/>
        <w:t xml:space="preserve">Expected return = (0.6 </w:t>
      </w:r>
      <w:r>
        <w:sym w:font="Symbol" w:char="F0B4"/>
      </w:r>
      <w:r>
        <w:t xml:space="preserve"> 15) + (0.4 </w:t>
      </w:r>
      <w:r>
        <w:sym w:font="Symbol" w:char="F0B4"/>
      </w:r>
      <w:r>
        <w:t xml:space="preserve"> 20) = 17%</w:t>
      </w:r>
    </w:p>
    <w:p w:rsidR="00F00A36" w:rsidRDefault="00F00A36" w:rsidP="00F00A36">
      <w:pPr>
        <w:spacing w:after="120"/>
        <w:ind w:left="1440"/>
      </w:pPr>
      <w:r>
        <w:t>Variance = (0.6</w:t>
      </w:r>
      <w:r>
        <w:rPr>
          <w:vertAlign w:val="superscript"/>
        </w:rPr>
        <w:t>2</w:t>
      </w:r>
      <w:r>
        <w:t xml:space="preserve"> </w:t>
      </w:r>
      <w:r>
        <w:sym w:font="Symbol" w:char="F0B4"/>
      </w:r>
      <w:r>
        <w:t xml:space="preserve"> 20</w:t>
      </w:r>
      <w:r>
        <w:rPr>
          <w:vertAlign w:val="superscript"/>
        </w:rPr>
        <w:t>2</w:t>
      </w:r>
      <w:r>
        <w:t>) + (0.4</w:t>
      </w:r>
      <w:r>
        <w:rPr>
          <w:vertAlign w:val="superscript"/>
        </w:rPr>
        <w:t>2</w:t>
      </w:r>
      <w:r>
        <w:t xml:space="preserve"> </w:t>
      </w:r>
      <w:r>
        <w:sym w:font="Symbol" w:char="F0B4"/>
      </w:r>
      <w:r>
        <w:t xml:space="preserve"> 22</w:t>
      </w:r>
      <w:r>
        <w:rPr>
          <w:vertAlign w:val="superscript"/>
        </w:rPr>
        <w:t>2</w:t>
      </w:r>
      <w:r>
        <w:t>) + 2(0.6</w:t>
      </w:r>
      <w:proofErr w:type="gramStart"/>
      <w:r>
        <w:t>)(</w:t>
      </w:r>
      <w:proofErr w:type="gramEnd"/>
      <w:r>
        <w:t>0.4)(0.5)(20)(22) = 327.04</w:t>
      </w:r>
    </w:p>
    <w:p w:rsidR="00F00A36" w:rsidRDefault="00F00A36" w:rsidP="00F00A36">
      <w:pPr>
        <w:spacing w:line="480" w:lineRule="auto"/>
        <w:ind w:left="1440"/>
      </w:pPr>
      <w:r>
        <w:t>Standard deviation = 327.04</w:t>
      </w:r>
      <w:r>
        <w:rPr>
          <w:vertAlign w:val="superscript"/>
        </w:rPr>
        <w:t>(1/2)</w:t>
      </w:r>
      <w:r>
        <w:t xml:space="preserve"> = 18.08%</w:t>
      </w:r>
    </w:p>
    <w:p w:rsidR="00F00A36" w:rsidRDefault="00F00A36" w:rsidP="00F00A36">
      <w:pPr>
        <w:numPr>
          <w:ilvl w:val="0"/>
          <w:numId w:val="4"/>
        </w:numPr>
        <w:tabs>
          <w:tab w:val="clear" w:pos="1440"/>
        </w:tabs>
        <w:spacing w:after="120"/>
      </w:pPr>
      <w:r>
        <w:t xml:space="preserve">Correlation coefficient = 0 </w:t>
      </w:r>
      <w:r>
        <w:sym w:font="Symbol" w:char="F0DE"/>
      </w:r>
      <w:r>
        <w:t xml:space="preserve"> Standard deviation = 14.88%</w:t>
      </w:r>
    </w:p>
    <w:p w:rsidR="00F00A36" w:rsidRDefault="00F00A36" w:rsidP="00F00A36">
      <w:pPr>
        <w:spacing w:line="480" w:lineRule="auto"/>
        <w:ind w:left="1440"/>
      </w:pPr>
      <w:r>
        <w:t xml:space="preserve">Correlation coefficient = </w:t>
      </w:r>
      <w:r>
        <w:rPr>
          <w:rFonts w:cs="Arial"/>
        </w:rPr>
        <w:t>–</w:t>
      </w:r>
      <w:r>
        <w:t xml:space="preserve">0.5 </w:t>
      </w:r>
      <w:r>
        <w:sym w:font="Symbol" w:char="F0DE"/>
      </w:r>
      <w:r>
        <w:t xml:space="preserve"> Standard deviation = 10.76%</w:t>
      </w:r>
    </w:p>
    <w:p w:rsidR="00F00A36" w:rsidRDefault="00F00A36" w:rsidP="00F00A36">
      <w:pPr>
        <w:numPr>
          <w:ilvl w:val="0"/>
          <w:numId w:val="4"/>
        </w:numPr>
        <w:tabs>
          <w:tab w:val="clear" w:pos="1440"/>
        </w:tabs>
      </w:pPr>
      <w:r>
        <w:t xml:space="preserve">His portfolio is better.  The portfolio has a higher expected return </w:t>
      </w:r>
      <w:r>
        <w:rPr>
          <w:i/>
        </w:rPr>
        <w:t>and</w:t>
      </w:r>
      <w:r>
        <w:t xml:space="preserve"> a lower standard deviation.</w:t>
      </w:r>
    </w:p>
    <w:p w:rsidR="00F00A36" w:rsidRDefault="00F00A36" w:rsidP="00F00A36">
      <w:pPr>
        <w:spacing w:line="360" w:lineRule="auto"/>
      </w:pPr>
    </w:p>
    <w:p w:rsidR="00F00A36" w:rsidRDefault="00F00A36" w:rsidP="00F00A36">
      <w:pPr>
        <w:pStyle w:val="BodyTextIndent"/>
        <w:tabs>
          <w:tab w:val="clear" w:pos="720"/>
        </w:tabs>
      </w:pPr>
      <w:r>
        <w:t>13.</w:t>
      </w:r>
      <w:r>
        <w:tab/>
      </w:r>
      <w:proofErr w:type="gramStart"/>
      <w:r>
        <w:t>a</w:t>
      </w:r>
      <w:proofErr w:type="gramEnd"/>
      <w:r>
        <w:t xml:space="preserve">. </w:t>
      </w:r>
    </w:p>
    <w:tbl>
      <w:tblPr>
        <w:tblW w:w="8184" w:type="dxa"/>
        <w:tblInd w:w="600" w:type="dxa"/>
        <w:tblLook w:val="04A0"/>
      </w:tblPr>
      <w:tblGrid>
        <w:gridCol w:w="1100"/>
        <w:gridCol w:w="760"/>
        <w:gridCol w:w="760"/>
        <w:gridCol w:w="760"/>
        <w:gridCol w:w="760"/>
        <w:gridCol w:w="760"/>
        <w:gridCol w:w="236"/>
        <w:gridCol w:w="948"/>
        <w:gridCol w:w="700"/>
        <w:gridCol w:w="1400"/>
      </w:tblGrid>
      <w:tr w:rsidR="00F00A36" w:rsidRPr="00D30122" w:rsidTr="00B06CF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Sharpe Ratio</w:t>
            </w:r>
          </w:p>
        </w:tc>
      </w:tr>
      <w:tr w:rsidR="00F00A36" w:rsidRPr="00D30122" w:rsidTr="00B06CF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Sauros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</w:tr>
      <w:tr w:rsidR="00F00A36" w:rsidRPr="00D30122" w:rsidTr="00B06CF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S&amp;P500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</w:tr>
      <w:tr w:rsidR="00F00A36" w:rsidRPr="00D30122" w:rsidTr="00B06CF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Risk Free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122"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D30122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00A36" w:rsidRDefault="00F00A36" w:rsidP="00F00A36">
      <w:pPr>
        <w:pStyle w:val="BodyTextIndent"/>
        <w:tabs>
          <w:tab w:val="clear" w:pos="720"/>
        </w:tabs>
        <w:spacing w:line="360" w:lineRule="auto"/>
        <w:ind w:left="0" w:firstLine="720"/>
      </w:pPr>
      <w:r>
        <w:t>On these numbers she seems to perform worse than the market</w:t>
      </w:r>
    </w:p>
    <w:p w:rsidR="00F00A36" w:rsidRDefault="00F00A36" w:rsidP="00F00A36">
      <w:pPr>
        <w:pStyle w:val="BodyTextIndent"/>
        <w:tabs>
          <w:tab w:val="clear" w:pos="720"/>
        </w:tabs>
        <w:spacing w:line="360" w:lineRule="auto"/>
        <w:ind w:left="0" w:firstLine="0"/>
      </w:pPr>
    </w:p>
    <w:p w:rsidR="00F00A36" w:rsidRDefault="00F00A36" w:rsidP="00F00A36">
      <w:pPr>
        <w:pStyle w:val="BodyTextIndent"/>
        <w:tabs>
          <w:tab w:val="clear" w:pos="720"/>
        </w:tabs>
        <w:spacing w:line="360" w:lineRule="auto"/>
        <w:ind w:left="0" w:firstLine="0"/>
      </w:pPr>
      <w:r>
        <w:tab/>
        <w:t>b. We can calculate the Beta of her investment as follows (see Table 7.7):</w:t>
      </w:r>
    </w:p>
    <w:tbl>
      <w:tblPr>
        <w:tblW w:w="6676" w:type="dxa"/>
        <w:tblInd w:w="1350" w:type="dxa"/>
        <w:tblLook w:val="04A0"/>
      </w:tblPr>
      <w:tblGrid>
        <w:gridCol w:w="1460"/>
        <w:gridCol w:w="1060"/>
        <w:gridCol w:w="760"/>
        <w:gridCol w:w="760"/>
        <w:gridCol w:w="760"/>
        <w:gridCol w:w="760"/>
        <w:gridCol w:w="236"/>
        <w:gridCol w:w="880"/>
      </w:tblGrid>
      <w:tr w:rsidR="00F00A36" w:rsidRPr="00FE74C9" w:rsidTr="00B06CF2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</w:tr>
      <w:tr w:rsidR="00F00A36" w:rsidRPr="00FE74C9" w:rsidTr="00B06CF2">
        <w:trPr>
          <w:trHeight w:val="8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 xml:space="preserve">Deviation from Average </w:t>
            </w:r>
            <w:proofErr w:type="spellStart"/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mkt</w:t>
            </w:r>
            <w:proofErr w:type="spellEnd"/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 xml:space="preserve"> return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-1.9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-8.0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-8.8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0A36" w:rsidRPr="00FE74C9" w:rsidTr="00B06CF2">
        <w:trPr>
          <w:trHeight w:val="9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Deviation from Average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auros</w:t>
            </w:r>
            <w:proofErr w:type="spellEnd"/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 xml:space="preserve"> return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-3.6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-12.0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-12.3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0A36" w:rsidRPr="00FE74C9" w:rsidTr="00B06CF2">
        <w:trPr>
          <w:trHeight w:val="12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Squared Deviation from Average market return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296.5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63.7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442.8</w:t>
            </w:r>
          </w:p>
        </w:tc>
      </w:tr>
      <w:tr w:rsidR="00F00A36" w:rsidRPr="00FE74C9" w:rsidTr="00B06CF2">
        <w:trPr>
          <w:trHeight w:val="12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Product of Deviations from Average returns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421.9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108.0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637.2</w:t>
            </w:r>
          </w:p>
        </w:tc>
      </w:tr>
      <w:tr w:rsidR="00F00A36" w:rsidRPr="00FE74C9" w:rsidTr="00B06CF2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0A36" w:rsidRPr="00FE74C9" w:rsidTr="00B06CF2">
        <w:trPr>
          <w:trHeight w:val="6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Market variance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88.6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0A36" w:rsidRPr="00FE74C9" w:rsidTr="00B06CF2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Covariance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127.4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0A36" w:rsidRPr="00FE74C9" w:rsidTr="00B06CF2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74C9"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FE74C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00A36" w:rsidRDefault="00F00A36" w:rsidP="00F00A36">
      <w:pPr>
        <w:pStyle w:val="BodyTextIndent"/>
        <w:tabs>
          <w:tab w:val="clear" w:pos="720"/>
        </w:tabs>
        <w:spacing w:line="360" w:lineRule="auto"/>
        <w:ind w:left="0" w:firstLine="0"/>
      </w:pPr>
    </w:p>
    <w:p w:rsidR="00F00A36" w:rsidRDefault="00F00A36" w:rsidP="00F00A36">
      <w:pPr>
        <w:pStyle w:val="BodyTextIndent"/>
        <w:tabs>
          <w:tab w:val="clear" w:pos="720"/>
        </w:tabs>
        <w:spacing w:line="360" w:lineRule="auto"/>
        <w:ind w:left="0" w:firstLine="0"/>
      </w:pPr>
      <w:r>
        <w:br w:type="page"/>
      </w:r>
      <w:r>
        <w:lastRenderedPageBreak/>
        <w:t>To construct a portfolio with a beta of 1.4, we will borrow .4 at the risk free rate and invest this in the market portfolio.  This gives us annual returns as follows:</w:t>
      </w:r>
    </w:p>
    <w:p w:rsidR="00F00A36" w:rsidRDefault="00F00A36" w:rsidP="00F00A36">
      <w:pPr>
        <w:pStyle w:val="BodyTextIndent"/>
        <w:tabs>
          <w:tab w:val="clear" w:pos="720"/>
        </w:tabs>
        <w:spacing w:line="360" w:lineRule="auto"/>
        <w:ind w:left="0" w:firstLine="0"/>
      </w:pPr>
    </w:p>
    <w:tbl>
      <w:tblPr>
        <w:tblW w:w="7064" w:type="dxa"/>
        <w:tblInd w:w="1155" w:type="dxa"/>
        <w:tblLook w:val="04A0"/>
      </w:tblPr>
      <w:tblGrid>
        <w:gridCol w:w="1780"/>
        <w:gridCol w:w="1060"/>
        <w:gridCol w:w="760"/>
        <w:gridCol w:w="760"/>
        <w:gridCol w:w="760"/>
        <w:gridCol w:w="760"/>
        <w:gridCol w:w="236"/>
        <w:gridCol w:w="948"/>
      </w:tblGrid>
      <w:tr w:rsidR="00F00A36" w:rsidRPr="006F623D" w:rsidTr="00B06CF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Average</w:t>
            </w:r>
          </w:p>
        </w:tc>
      </w:tr>
      <w:tr w:rsidR="00F00A36" w:rsidRPr="006F623D" w:rsidTr="00B06CF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1.4 times market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44.2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20.1</w:t>
            </w:r>
          </w:p>
        </w:tc>
      </w:tr>
      <w:tr w:rsidR="00F00A36" w:rsidRPr="006F623D" w:rsidTr="00B06CF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 xml:space="preserve">less 0.4 time </w:t>
            </w:r>
            <w:proofErr w:type="spellStart"/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rf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-1.3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-1.9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-1.2</w:t>
            </w:r>
          </w:p>
        </w:tc>
      </w:tr>
      <w:tr w:rsidR="00F00A36" w:rsidRPr="006F623D" w:rsidTr="00B06CF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net return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43.84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16.95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7.70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20.23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36" w:rsidRPr="006F623D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23D">
              <w:rPr>
                <w:rFonts w:ascii="Calibri" w:hAnsi="Calibri"/>
                <w:color w:val="000000"/>
                <w:sz w:val="22"/>
                <w:szCs w:val="22"/>
              </w:rPr>
              <w:t>19.0</w:t>
            </w:r>
          </w:p>
        </w:tc>
      </w:tr>
    </w:tbl>
    <w:p w:rsidR="00F00A36" w:rsidRDefault="00F00A36" w:rsidP="00F00A36">
      <w:pPr>
        <w:pStyle w:val="BodyTextIndent"/>
        <w:tabs>
          <w:tab w:val="clear" w:pos="720"/>
        </w:tabs>
        <w:spacing w:line="360" w:lineRule="auto"/>
        <w:ind w:left="0" w:firstLine="0"/>
      </w:pPr>
    </w:p>
    <w:p w:rsidR="00F00A36" w:rsidRDefault="00F00A36" w:rsidP="00F00A36">
      <w:pPr>
        <w:pStyle w:val="BodyTextIndent"/>
        <w:tabs>
          <w:tab w:val="clear" w:pos="720"/>
        </w:tabs>
        <w:spacing w:line="360" w:lineRule="auto"/>
        <w:ind w:firstLine="0"/>
      </w:pPr>
      <w:r>
        <w:t xml:space="preserve">The </w:t>
      </w:r>
      <w:proofErr w:type="spellStart"/>
      <w:r>
        <w:t>Sauros</w:t>
      </w:r>
      <w:proofErr w:type="spellEnd"/>
      <w:r>
        <w:t xml:space="preserve"> portfolio does not generate sufficient returns to compensate for its risk.</w:t>
      </w:r>
    </w:p>
    <w:p w:rsidR="00F00A36" w:rsidRDefault="00F00A36" w:rsidP="00F00A36">
      <w:pPr>
        <w:pStyle w:val="BodyTextIndent"/>
        <w:tabs>
          <w:tab w:val="clear" w:pos="720"/>
        </w:tabs>
      </w:pPr>
    </w:p>
    <w:p w:rsidR="00F00A36" w:rsidRDefault="00F00A36" w:rsidP="00F00A36">
      <w:pPr>
        <w:pStyle w:val="BodyTextIndent"/>
        <w:tabs>
          <w:tab w:val="clear" w:pos="720"/>
        </w:tabs>
      </w:pPr>
      <w:r>
        <w:t>14.</w:t>
      </w:r>
      <w:r>
        <w:tab/>
      </w:r>
      <w:proofErr w:type="gramStart"/>
      <w:r>
        <w:t>a</w:t>
      </w:r>
      <w:proofErr w:type="gramEnd"/>
      <w:r>
        <w:t xml:space="preserve">. </w:t>
      </w:r>
      <w:r>
        <w:tab/>
        <w:t>The Beta of the first portfolio is 0.714 and offers an average return of 5.9%</w:t>
      </w:r>
    </w:p>
    <w:p w:rsidR="00F00A36" w:rsidRDefault="00F00A36" w:rsidP="00F00A36">
      <w:pPr>
        <w:pStyle w:val="BodyTextIndent"/>
        <w:tabs>
          <w:tab w:val="clear" w:pos="720"/>
        </w:tabs>
      </w:pPr>
    </w:p>
    <w:tbl>
      <w:tblPr>
        <w:tblW w:w="6740" w:type="dxa"/>
        <w:tblInd w:w="801" w:type="dxa"/>
        <w:tblLook w:val="04A0"/>
      </w:tblPr>
      <w:tblGrid>
        <w:gridCol w:w="2980"/>
        <w:gridCol w:w="1740"/>
        <w:gridCol w:w="2020"/>
      </w:tblGrid>
      <w:tr w:rsidR="00F00A36" w:rsidRPr="00E63829" w:rsidTr="00B06CF2">
        <w:trPr>
          <w:trHeight w:val="6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Expected Return</w:t>
            </w:r>
          </w:p>
        </w:tc>
      </w:tr>
      <w:tr w:rsidR="00F00A36" w:rsidRPr="00E63829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Disney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0.960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7.700</w:t>
            </w:r>
          </w:p>
        </w:tc>
      </w:tr>
      <w:tr w:rsidR="00F00A36" w:rsidRPr="00E63829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Exxon Mobil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0.550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4.700</w:t>
            </w:r>
          </w:p>
        </w:tc>
      </w:tr>
      <w:tr w:rsidR="00F00A36" w:rsidRPr="00E63829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A36" w:rsidRPr="00E63829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weighted (40,60)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0.714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5.900</w:t>
            </w:r>
          </w:p>
        </w:tc>
      </w:tr>
      <w:tr w:rsidR="00F00A36" w:rsidRPr="00E63829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A36" w:rsidRPr="00E63829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Amazon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2.160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22.800</w:t>
            </w:r>
          </w:p>
        </w:tc>
      </w:tr>
      <w:tr w:rsidR="00F00A36" w:rsidRPr="00E63829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E63829">
                  <w:rPr>
                    <w:rFonts w:ascii="Calibri" w:hAnsi="Calibri"/>
                    <w:color w:val="000000"/>
                    <w:sz w:val="22"/>
                    <w:szCs w:val="22"/>
                  </w:rPr>
                  <w:t>Campbells</w:t>
                </w:r>
              </w:smartTag>
            </w:smartTag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3.100</w:t>
            </w:r>
          </w:p>
        </w:tc>
      </w:tr>
      <w:tr w:rsidR="00F00A36" w:rsidRPr="00E63829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A36" w:rsidRPr="00E63829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weighted (</w:t>
            </w: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14.5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85.5</w:t>
            </w: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0.570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E63829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829">
              <w:rPr>
                <w:rFonts w:ascii="Calibri" w:hAnsi="Calibri"/>
                <w:color w:val="000000"/>
                <w:sz w:val="22"/>
                <w:szCs w:val="22"/>
              </w:rPr>
              <w:t>5.858</w:t>
            </w:r>
          </w:p>
        </w:tc>
      </w:tr>
    </w:tbl>
    <w:p w:rsidR="00F00A36" w:rsidRDefault="00F00A36" w:rsidP="00F00A36">
      <w:pPr>
        <w:pStyle w:val="BodyTextIndent"/>
        <w:tabs>
          <w:tab w:val="clear" w:pos="720"/>
        </w:tabs>
      </w:pPr>
    </w:p>
    <w:p w:rsidR="00F00A36" w:rsidRDefault="00F00A36" w:rsidP="00F00A36">
      <w:pPr>
        <w:pStyle w:val="BodyTextIndent"/>
        <w:tabs>
          <w:tab w:val="clear" w:pos="720"/>
        </w:tabs>
        <w:ind w:left="1440"/>
      </w:pPr>
      <w:r>
        <w:t xml:space="preserve">b. </w:t>
      </w:r>
      <w:r>
        <w:tab/>
        <w:t xml:space="preserve">We can devise a superior portfolio with a blend of 85.5% </w:t>
      </w:r>
      <w:smartTag w:uri="urn:schemas-microsoft-com:office:smarttags" w:element="City">
        <w:smartTag w:uri="urn:schemas-microsoft-com:office:smarttags" w:element="place">
          <w:r>
            <w:t>Campbell</w:t>
          </w:r>
        </w:smartTag>
      </w:smartTag>
      <w:r>
        <w:t>’s Soup and 14.5% Amazon.</w:t>
      </w:r>
    </w:p>
    <w:p w:rsidR="00F00A36" w:rsidRDefault="00F00A36" w:rsidP="00F00A36">
      <w:pPr>
        <w:pStyle w:val="BodyTextIndent"/>
        <w:tabs>
          <w:tab w:val="clear" w:pos="720"/>
        </w:tabs>
        <w:ind w:left="0" w:firstLine="0"/>
      </w:pPr>
    </w:p>
    <w:p w:rsidR="00F00A36" w:rsidRDefault="00F00A36" w:rsidP="00F00A36">
      <w:pPr>
        <w:pStyle w:val="BodyTextIndent"/>
        <w:tabs>
          <w:tab w:val="clear" w:pos="720"/>
        </w:tabs>
        <w:ind w:left="0" w:firstLine="720"/>
      </w:pPr>
      <w:proofErr w:type="gramStart"/>
      <w:r>
        <w:t>c</w:t>
      </w:r>
      <w:proofErr w:type="gramEnd"/>
      <w:r>
        <w:t xml:space="preserve">. </w:t>
      </w:r>
    </w:p>
    <w:tbl>
      <w:tblPr>
        <w:tblW w:w="6740" w:type="dxa"/>
        <w:tblInd w:w="801" w:type="dxa"/>
        <w:tblLook w:val="04A0"/>
      </w:tblPr>
      <w:tblGrid>
        <w:gridCol w:w="2980"/>
        <w:gridCol w:w="1740"/>
        <w:gridCol w:w="2020"/>
      </w:tblGrid>
      <w:tr w:rsidR="00F00A36" w:rsidRPr="007017F1" w:rsidTr="00B06CF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Expected Return</w:t>
            </w:r>
          </w:p>
        </w:tc>
      </w:tr>
      <w:tr w:rsidR="00F00A36" w:rsidRPr="007017F1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Amazon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2.160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22.800</w:t>
            </w:r>
          </w:p>
        </w:tc>
      </w:tr>
      <w:tr w:rsidR="00F00A36" w:rsidRPr="007017F1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Dell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1.410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13.400</w:t>
            </w:r>
          </w:p>
        </w:tc>
      </w:tr>
      <w:tr w:rsidR="00F00A36" w:rsidRPr="007017F1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A36" w:rsidRPr="007017F1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weighted (40,60)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1.710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17.160</w:t>
            </w:r>
          </w:p>
        </w:tc>
      </w:tr>
      <w:tr w:rsidR="00F00A36" w:rsidRPr="007017F1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A36" w:rsidRPr="007017F1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Ford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1.750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19.000</w:t>
            </w:r>
          </w:p>
        </w:tc>
      </w:tr>
      <w:tr w:rsidR="00F00A36" w:rsidRPr="007017F1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Campbell</w:t>
                </w:r>
              </w:smartTag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Soup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3.100</w:t>
            </w:r>
          </w:p>
        </w:tc>
      </w:tr>
      <w:tr w:rsidR="00F00A36" w:rsidRPr="007017F1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A36" w:rsidRPr="007017F1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weighted (89, 11)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1.591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17.251</w:t>
            </w:r>
          </w:p>
        </w:tc>
      </w:tr>
      <w:tr w:rsidR="00F00A36" w:rsidRPr="007017F1" w:rsidTr="00B06CF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7017F1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7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00A36" w:rsidRDefault="00F00A36" w:rsidP="00F00A36">
      <w:pPr>
        <w:pStyle w:val="BodyTextIndent"/>
        <w:tabs>
          <w:tab w:val="clear" w:pos="720"/>
        </w:tabs>
        <w:ind w:left="0" w:firstLine="0"/>
      </w:pPr>
      <w:r>
        <w:lastRenderedPageBreak/>
        <w:br w:type="page"/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left="720" w:hanging="720"/>
      </w:pPr>
      <w:r>
        <w:lastRenderedPageBreak/>
        <w:t>15.</w:t>
      </w:r>
      <w:r>
        <w:tab/>
      </w:r>
      <w:proofErr w:type="gramStart"/>
      <w:r>
        <w:t>a</w:t>
      </w:r>
      <w:proofErr w:type="gramEnd"/>
      <w:r>
        <w:t>.</w:t>
      </w:r>
      <w:r>
        <w:rPr>
          <w:noProof/>
        </w:rPr>
        <w:pict>
          <v:shape id="_x0000_s1027" type="#_x0000_t202" style="position:absolute;left:0;text-align:left;margin-left:115.2pt;margin-top:25.95pt;width:245.2pt;height:161.3pt;z-index:251661312;mso-position-horizontal-relative:text;mso-position-vertical-relative:text" o:allowincell="f">
            <v:textbox style="mso-next-textbox:#_x0000_s1027">
              <w:txbxContent>
                <w:p w:rsidR="00F00A36" w:rsidRDefault="00F00A36" w:rsidP="00F00A36">
                  <w:r>
                    <w:rPr>
                      <w:noProof/>
                    </w:rPr>
                    <w:drawing>
                      <wp:inline distT="0" distB="0" distL="0" distR="0">
                        <wp:extent cx="2924175" cy="1943100"/>
                        <wp:effectExtent l="0" t="0" r="0" b="0"/>
                        <wp:docPr id="7" name="Object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Pr="009F5C44" w:rsidRDefault="00F00A36" w:rsidP="00F00A3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ind w:left="720"/>
        <w:rPr>
          <w:lang w:val="sv-SE"/>
        </w:rPr>
      </w:pPr>
      <w:r w:rsidRPr="009F5C44">
        <w:rPr>
          <w:lang w:val="sv-SE"/>
        </w:rPr>
        <w:t>b.</w:t>
      </w:r>
      <w:r w:rsidRPr="009F5C44">
        <w:rPr>
          <w:lang w:val="sv-SE"/>
        </w:rPr>
        <w:tab/>
        <w:t>Market risk premium = r</w:t>
      </w:r>
      <w:r w:rsidRPr="009F5C44">
        <w:rPr>
          <w:vertAlign w:val="subscript"/>
          <w:lang w:val="sv-SE"/>
        </w:rPr>
        <w:t>m</w:t>
      </w:r>
      <w:r w:rsidRPr="009F5C44">
        <w:rPr>
          <w:lang w:val="sv-SE"/>
        </w:rPr>
        <w:t xml:space="preserve"> </w:t>
      </w:r>
      <w:r w:rsidRPr="009F5C44">
        <w:rPr>
          <w:rFonts w:cs="Arial"/>
          <w:lang w:val="sv-SE"/>
        </w:rPr>
        <w:t>–</w:t>
      </w:r>
      <w:r w:rsidRPr="009F5C44">
        <w:rPr>
          <w:lang w:val="sv-SE"/>
        </w:rPr>
        <w:t xml:space="preserve"> r</w:t>
      </w:r>
      <w:r w:rsidRPr="009F5C44">
        <w:rPr>
          <w:vertAlign w:val="subscript"/>
          <w:lang w:val="sv-SE"/>
        </w:rPr>
        <w:t>f</w:t>
      </w:r>
      <w:r w:rsidRPr="009F5C44">
        <w:rPr>
          <w:lang w:val="sv-SE"/>
        </w:rPr>
        <w:t xml:space="preserve"> = 0.12 </w:t>
      </w:r>
      <w:r w:rsidRPr="009F5C44">
        <w:rPr>
          <w:rFonts w:cs="Arial"/>
          <w:lang w:val="sv-SE"/>
        </w:rPr>
        <w:t>–</w:t>
      </w:r>
      <w:r w:rsidRPr="009F5C44">
        <w:rPr>
          <w:lang w:val="sv-SE"/>
        </w:rPr>
        <w:t xml:space="preserve"> 0.04 = 0.08 = 8.0%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</w:tabs>
        <w:rPr>
          <w:lang w:val="sv-SE"/>
        </w:rPr>
      </w:pPr>
    </w:p>
    <w:p w:rsidR="00F00A36" w:rsidRDefault="00F00A36" w:rsidP="00F00A36">
      <w:pPr>
        <w:pStyle w:val="Header"/>
        <w:numPr>
          <w:ilvl w:val="0"/>
          <w:numId w:val="12"/>
        </w:numPr>
        <w:tabs>
          <w:tab w:val="clear" w:pos="3240"/>
          <w:tab w:val="clear" w:pos="4320"/>
          <w:tab w:val="clear" w:pos="8640"/>
        </w:tabs>
        <w:spacing w:after="120"/>
        <w:ind w:left="1440"/>
      </w:pPr>
      <w:r>
        <w:t>Use the security market line: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r>
        <w:t xml:space="preserve">r = </w:t>
      </w:r>
      <w:proofErr w:type="spellStart"/>
      <w:proofErr w:type="gramStart"/>
      <w:r>
        <w:t>r</w:t>
      </w:r>
      <w:r>
        <w:rPr>
          <w:vertAlign w:val="subscript"/>
        </w:rPr>
        <w:t>f</w:t>
      </w:r>
      <w:proofErr w:type="spellEnd"/>
      <w:proofErr w:type="gramEnd"/>
      <w:r>
        <w:t xml:space="preserve"> + </w:t>
      </w:r>
      <w:r>
        <w:sym w:font="Symbol" w:char="F062"/>
      </w:r>
      <w:r>
        <w:t>(</w:t>
      </w:r>
      <w:proofErr w:type="spellStart"/>
      <w:r>
        <w:t>r</w:t>
      </w:r>
      <w:r>
        <w:rPr>
          <w:vertAlign w:val="subscript"/>
        </w:rPr>
        <w:t>m</w:t>
      </w:r>
      <w:proofErr w:type="spellEnd"/>
      <w:r>
        <w:t xml:space="preserve"> </w:t>
      </w:r>
      <w:r>
        <w:rPr>
          <w:rFonts w:cs="Arial"/>
        </w:rPr>
        <w:t>–</w:t>
      </w:r>
      <w:r>
        <w:t xml:space="preserve"> </w:t>
      </w:r>
      <w:proofErr w:type="spellStart"/>
      <w:r>
        <w:t>r</w:t>
      </w:r>
      <w:r>
        <w:rPr>
          <w:vertAlign w:val="subscript"/>
        </w:rPr>
        <w:t>f</w:t>
      </w:r>
      <w:proofErr w:type="spellEnd"/>
      <w:r>
        <w:t>)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480" w:lineRule="auto"/>
        <w:ind w:left="2160"/>
      </w:pPr>
      <w:r>
        <w:t xml:space="preserve">r = 0.04 + [1.5 </w:t>
      </w:r>
      <w:r>
        <w:sym w:font="Symbol" w:char="F0B4"/>
      </w:r>
      <w:r>
        <w:t xml:space="preserve"> (0.12 </w:t>
      </w:r>
      <w:r>
        <w:rPr>
          <w:rFonts w:cs="Arial"/>
        </w:rPr>
        <w:t>–</w:t>
      </w:r>
      <w:r>
        <w:t xml:space="preserve"> 0.04)] = 0.16 = 16.0%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 w:hanging="720"/>
      </w:pPr>
      <w:r>
        <w:t>d.</w:t>
      </w:r>
      <w:r>
        <w:tab/>
        <w:t xml:space="preserve">For any investment, we can find the opportunity cost of capital using the security market line.  With </w:t>
      </w:r>
      <w:r>
        <w:sym w:font="Symbol" w:char="F062"/>
      </w:r>
      <w:r>
        <w:t xml:space="preserve"> = 0.8, the opportunity cost of capital is: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r>
        <w:t xml:space="preserve">r = </w:t>
      </w:r>
      <w:proofErr w:type="spellStart"/>
      <w:proofErr w:type="gramStart"/>
      <w:r>
        <w:t>r</w:t>
      </w:r>
      <w:r>
        <w:rPr>
          <w:vertAlign w:val="subscript"/>
        </w:rPr>
        <w:t>f</w:t>
      </w:r>
      <w:proofErr w:type="spellEnd"/>
      <w:proofErr w:type="gramEnd"/>
      <w:r>
        <w:t xml:space="preserve"> + </w:t>
      </w:r>
      <w:r>
        <w:sym w:font="Symbol" w:char="F062"/>
      </w:r>
      <w:r>
        <w:t>(</w:t>
      </w:r>
      <w:proofErr w:type="spellStart"/>
      <w:r>
        <w:t>r</w:t>
      </w:r>
      <w:r>
        <w:rPr>
          <w:vertAlign w:val="subscript"/>
        </w:rPr>
        <w:t>m</w:t>
      </w:r>
      <w:proofErr w:type="spellEnd"/>
      <w:r>
        <w:t xml:space="preserve"> </w:t>
      </w:r>
      <w:r>
        <w:rPr>
          <w:rFonts w:cs="Arial"/>
        </w:rPr>
        <w:t>–</w:t>
      </w:r>
      <w:r>
        <w:t xml:space="preserve"> </w:t>
      </w:r>
      <w:proofErr w:type="spellStart"/>
      <w:r>
        <w:t>r</w:t>
      </w:r>
      <w:r>
        <w:rPr>
          <w:vertAlign w:val="subscript"/>
        </w:rPr>
        <w:t>f</w:t>
      </w:r>
      <w:proofErr w:type="spellEnd"/>
      <w:r>
        <w:t>)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r>
        <w:t xml:space="preserve">r = 0.04 + [0.8 </w:t>
      </w:r>
      <w:r>
        <w:sym w:font="Symbol" w:char="F0B4"/>
      </w:r>
      <w:r>
        <w:t xml:space="preserve"> (0.12 </w:t>
      </w:r>
      <w:r>
        <w:rPr>
          <w:rFonts w:cs="Arial"/>
        </w:rPr>
        <w:t>–</w:t>
      </w:r>
      <w:r>
        <w:t xml:space="preserve"> 0.04)] = 0.104 = 10.4%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left="1440"/>
      </w:pPr>
      <w:r>
        <w:t>The opportunity cost of capital is 10.4% and the investment is expected to earn 9.8%.  Therefore, the investment has a negative NPV.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 w:hanging="720"/>
      </w:pPr>
      <w:r>
        <w:t>e.</w:t>
      </w:r>
      <w:r>
        <w:tab/>
        <w:t>Again, we use the security market line: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r>
        <w:t xml:space="preserve">r = </w:t>
      </w:r>
      <w:proofErr w:type="spellStart"/>
      <w:proofErr w:type="gramStart"/>
      <w:r>
        <w:t>r</w:t>
      </w:r>
      <w:r>
        <w:rPr>
          <w:vertAlign w:val="subscript"/>
        </w:rPr>
        <w:t>f</w:t>
      </w:r>
      <w:proofErr w:type="spellEnd"/>
      <w:proofErr w:type="gramEnd"/>
      <w:r>
        <w:t xml:space="preserve"> + </w:t>
      </w:r>
      <w:r>
        <w:sym w:font="Symbol" w:char="F062"/>
      </w:r>
      <w:r>
        <w:t>(</w:t>
      </w:r>
      <w:proofErr w:type="spellStart"/>
      <w:r>
        <w:t>r</w:t>
      </w:r>
      <w:r>
        <w:rPr>
          <w:vertAlign w:val="subscript"/>
        </w:rPr>
        <w:t>m</w:t>
      </w:r>
      <w:proofErr w:type="spellEnd"/>
      <w:r>
        <w:t xml:space="preserve"> </w:t>
      </w:r>
      <w:r>
        <w:rPr>
          <w:rFonts w:cs="Arial"/>
        </w:rPr>
        <w:t>–</w:t>
      </w:r>
      <w:r>
        <w:t xml:space="preserve"> </w:t>
      </w:r>
      <w:proofErr w:type="spellStart"/>
      <w:r>
        <w:t>r</w:t>
      </w:r>
      <w:r>
        <w:rPr>
          <w:vertAlign w:val="subscript"/>
        </w:rPr>
        <w:t>f</w:t>
      </w:r>
      <w:proofErr w:type="spellEnd"/>
      <w:r>
        <w:t>)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left="2160"/>
      </w:pPr>
      <w:r>
        <w:t xml:space="preserve">0.112 = 0.04 + </w:t>
      </w:r>
      <w:r>
        <w:sym w:font="Symbol" w:char="F062"/>
      </w:r>
      <w:r>
        <w:t xml:space="preserve">(0.12 </w:t>
      </w:r>
      <w:r>
        <w:rPr>
          <w:rFonts w:cs="Arial"/>
        </w:rPr>
        <w:t>–</w:t>
      </w:r>
      <w:r>
        <w:t xml:space="preserve"> 0.04) </w:t>
      </w:r>
      <w:r>
        <w:sym w:font="Symbol" w:char="F0DE"/>
      </w:r>
      <w:r>
        <w:t xml:space="preserve"> </w:t>
      </w:r>
      <w:r>
        <w:sym w:font="Symbol" w:char="F062"/>
      </w:r>
      <w:r>
        <w:t xml:space="preserve"> = 0.9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360" w:lineRule="auto"/>
      </w:pP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hanging="1440"/>
      </w:pPr>
      <w:r>
        <w:t>16.</w:t>
      </w:r>
      <w:r>
        <w:tab/>
        <w:t>a.</w:t>
      </w:r>
      <w:r>
        <w:tab/>
      </w:r>
      <w:proofErr w:type="spellStart"/>
      <w:r>
        <w:t>Percival’s</w:t>
      </w:r>
      <w:proofErr w:type="spellEnd"/>
      <w:r>
        <w:t xml:space="preserve"> current portfolio provides an expected return of 9% with an annual standard deviation of 10%.  First we find the portfolio weights for a combination of Treasury bills (security 1: standard deviation = 0%) and the index fund (security 2: standard deviation = 16%) such that portfolio standard deviation is 10%.  In general, for a two security portfolio: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r>
        <w:sym w:font="Symbol" w:char="F073"/>
      </w:r>
      <w:r>
        <w:rPr>
          <w:vertAlign w:val="subscript"/>
        </w:rPr>
        <w:t>P</w:t>
      </w:r>
      <w:r>
        <w:rPr>
          <w:vertAlign w:val="superscript"/>
        </w:rPr>
        <w:t>2</w:t>
      </w:r>
      <w:r>
        <w:t xml:space="preserve"> = x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sym w:font="Symbol" w:char="F073"/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 xml:space="preserve"> + 2x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sym w:font="Symbol" w:char="F073"/>
      </w:r>
      <w:r>
        <w:rPr>
          <w:vertAlign w:val="subscript"/>
        </w:rPr>
        <w:t>1</w:t>
      </w:r>
      <w:r>
        <w:sym w:font="Symbol" w:char="F073"/>
      </w:r>
      <w:r>
        <w:rPr>
          <w:vertAlign w:val="subscript"/>
        </w:rPr>
        <w:t>2</w:t>
      </w:r>
      <w:r>
        <w:sym w:font="Symbol" w:char="F072"/>
      </w:r>
      <w:r>
        <w:rPr>
          <w:vertAlign w:val="subscript"/>
        </w:rPr>
        <w:t>12</w:t>
      </w:r>
      <w:r>
        <w:t xml:space="preserve"> + x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sym w:font="Symbol" w:char="F073"/>
      </w:r>
      <w:r>
        <w:rPr>
          <w:vertAlign w:val="subscript"/>
        </w:rPr>
        <w:t>2</w:t>
      </w:r>
      <w:r>
        <w:rPr>
          <w:vertAlign w:val="superscript"/>
        </w:rPr>
        <w:t>2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  <w:rPr>
          <w:lang w:val="pt-BR"/>
        </w:rPr>
      </w:pPr>
      <w:r w:rsidRPr="009F5C44">
        <w:rPr>
          <w:lang w:val="pt-BR"/>
        </w:rPr>
        <w:t>(0.10)</w:t>
      </w:r>
      <w:r w:rsidRPr="009F5C44">
        <w:rPr>
          <w:vertAlign w:val="superscript"/>
          <w:lang w:val="pt-BR"/>
        </w:rPr>
        <w:t xml:space="preserve">2 </w:t>
      </w:r>
      <w:r w:rsidRPr="009F5C44">
        <w:rPr>
          <w:lang w:val="pt-BR"/>
        </w:rPr>
        <w:t>= 0 + 0 + x</w:t>
      </w:r>
      <w:r w:rsidRPr="009F5C44">
        <w:rPr>
          <w:vertAlign w:val="subscript"/>
          <w:lang w:val="pt-BR"/>
        </w:rPr>
        <w:t>2</w:t>
      </w:r>
      <w:r w:rsidRPr="009F5C44">
        <w:rPr>
          <w:vertAlign w:val="superscript"/>
          <w:lang w:val="pt-BR"/>
        </w:rPr>
        <w:t>2</w:t>
      </w:r>
      <w:r w:rsidRPr="009F5C44">
        <w:rPr>
          <w:lang w:val="pt-BR"/>
        </w:rPr>
        <w:t>(0.16)</w:t>
      </w:r>
      <w:r w:rsidRPr="009F5C44">
        <w:rPr>
          <w:vertAlign w:val="superscript"/>
          <w:lang w:val="pt-BR"/>
        </w:rPr>
        <w:t>2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  <w:rPr>
          <w:lang w:val="pt-BR"/>
        </w:rPr>
      </w:pPr>
      <w:r w:rsidRPr="009F5C44">
        <w:rPr>
          <w:lang w:val="pt-BR"/>
        </w:rPr>
        <w:t>x</w:t>
      </w:r>
      <w:r w:rsidRPr="009F5C44">
        <w:rPr>
          <w:vertAlign w:val="subscript"/>
          <w:lang w:val="pt-BR"/>
        </w:rPr>
        <w:t>2</w:t>
      </w:r>
      <w:r w:rsidRPr="009F5C44">
        <w:rPr>
          <w:lang w:val="pt-BR"/>
        </w:rPr>
        <w:t xml:space="preserve"> = 0.625 </w:t>
      </w:r>
      <w:r>
        <w:sym w:font="Symbol" w:char="F0DE"/>
      </w:r>
      <w:r w:rsidRPr="009F5C44">
        <w:rPr>
          <w:lang w:val="pt-BR"/>
        </w:rPr>
        <w:t xml:space="preserve"> x</w:t>
      </w:r>
      <w:r w:rsidRPr="009F5C44">
        <w:rPr>
          <w:vertAlign w:val="subscript"/>
          <w:lang w:val="pt-BR"/>
        </w:rPr>
        <w:t>1</w:t>
      </w:r>
      <w:r w:rsidRPr="009F5C44">
        <w:rPr>
          <w:lang w:val="pt-BR"/>
        </w:rPr>
        <w:t xml:space="preserve"> = 0.375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</w:tabs>
        <w:spacing w:after="120"/>
        <w:rPr>
          <w:lang w:val="pt-BR"/>
        </w:rPr>
      </w:pPr>
      <w:r>
        <w:rPr>
          <w:lang w:val="pt-BR"/>
        </w:rPr>
        <w:br w:type="page"/>
      </w:r>
      <w:r w:rsidRPr="009F5C44">
        <w:rPr>
          <w:lang w:val="pt-BR"/>
        </w:rPr>
        <w:lastRenderedPageBreak/>
        <w:t>Further: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  <w:rPr>
          <w:lang w:val="pt-BR"/>
        </w:rPr>
      </w:pPr>
      <w:r w:rsidRPr="009F5C44">
        <w:rPr>
          <w:lang w:val="pt-BR"/>
        </w:rPr>
        <w:t>r</w:t>
      </w:r>
      <w:r w:rsidRPr="009F5C44">
        <w:rPr>
          <w:vertAlign w:val="subscript"/>
          <w:lang w:val="pt-BR"/>
        </w:rPr>
        <w:t>p</w:t>
      </w:r>
      <w:r w:rsidRPr="009F5C44">
        <w:rPr>
          <w:lang w:val="pt-BR"/>
        </w:rPr>
        <w:t xml:space="preserve"> = x</w:t>
      </w:r>
      <w:r w:rsidRPr="009F5C44">
        <w:rPr>
          <w:vertAlign w:val="subscript"/>
          <w:lang w:val="pt-BR"/>
        </w:rPr>
        <w:t>1</w:t>
      </w:r>
      <w:r w:rsidRPr="009F5C44">
        <w:rPr>
          <w:lang w:val="pt-BR"/>
        </w:rPr>
        <w:t>r</w:t>
      </w:r>
      <w:r w:rsidRPr="009F5C44">
        <w:rPr>
          <w:vertAlign w:val="subscript"/>
          <w:lang w:val="pt-BR"/>
        </w:rPr>
        <w:t>1</w:t>
      </w:r>
      <w:r w:rsidRPr="009F5C44">
        <w:rPr>
          <w:lang w:val="pt-BR"/>
        </w:rPr>
        <w:t xml:space="preserve"> + x</w:t>
      </w:r>
      <w:r w:rsidRPr="009F5C44">
        <w:rPr>
          <w:vertAlign w:val="subscript"/>
          <w:lang w:val="pt-BR"/>
        </w:rPr>
        <w:t>2</w:t>
      </w:r>
      <w:r w:rsidRPr="009F5C44">
        <w:rPr>
          <w:lang w:val="pt-BR"/>
        </w:rPr>
        <w:t>r</w:t>
      </w:r>
      <w:r w:rsidRPr="009F5C44">
        <w:rPr>
          <w:vertAlign w:val="subscript"/>
          <w:lang w:val="pt-BR"/>
        </w:rPr>
        <w:t>2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proofErr w:type="spellStart"/>
      <w:proofErr w:type="gramStart"/>
      <w:r>
        <w:t>r</w:t>
      </w:r>
      <w:r>
        <w:rPr>
          <w:vertAlign w:val="subscript"/>
        </w:rPr>
        <w:t>p</w:t>
      </w:r>
      <w:proofErr w:type="spellEnd"/>
      <w:proofErr w:type="gramEnd"/>
      <w:r>
        <w:t xml:space="preserve"> = (0.375 </w:t>
      </w:r>
      <w:r>
        <w:sym w:font="Symbol" w:char="F0B4"/>
      </w:r>
      <w:r>
        <w:t xml:space="preserve"> 0.06) + (0.625 </w:t>
      </w:r>
      <w:r>
        <w:sym w:font="Symbol" w:char="F0B4"/>
      </w:r>
      <w:r>
        <w:t xml:space="preserve"> 0.14) = 0.11 = 11.0%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left="1440"/>
      </w:pPr>
      <w:r>
        <w:t>Therefore, he can improve his expected rate of return without changing the risk of his portfolio.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numPr>
          <w:ilvl w:val="0"/>
          <w:numId w:val="5"/>
        </w:numPr>
        <w:tabs>
          <w:tab w:val="clear" w:pos="1440"/>
          <w:tab w:val="clear" w:pos="4320"/>
          <w:tab w:val="clear" w:pos="8640"/>
        </w:tabs>
        <w:spacing w:after="120"/>
      </w:pPr>
      <w:r>
        <w:t>With equal amounts in the corporate bond portfolio (security 1) and the index fund (security 2), the expected return is: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  <w:rPr>
          <w:lang w:val="pt-BR"/>
        </w:rPr>
      </w:pPr>
      <w:r w:rsidRPr="009F5C44">
        <w:rPr>
          <w:lang w:val="pt-BR"/>
        </w:rPr>
        <w:t>r</w:t>
      </w:r>
      <w:r w:rsidRPr="009F5C44">
        <w:rPr>
          <w:vertAlign w:val="subscript"/>
          <w:lang w:val="pt-BR"/>
        </w:rPr>
        <w:t>p</w:t>
      </w:r>
      <w:r w:rsidRPr="009F5C44">
        <w:rPr>
          <w:lang w:val="pt-BR"/>
        </w:rPr>
        <w:t xml:space="preserve"> = x</w:t>
      </w:r>
      <w:r w:rsidRPr="009F5C44">
        <w:rPr>
          <w:vertAlign w:val="subscript"/>
          <w:lang w:val="pt-BR"/>
        </w:rPr>
        <w:t>1</w:t>
      </w:r>
      <w:r w:rsidRPr="009F5C44">
        <w:rPr>
          <w:lang w:val="pt-BR"/>
        </w:rPr>
        <w:t>r</w:t>
      </w:r>
      <w:r w:rsidRPr="009F5C44">
        <w:rPr>
          <w:vertAlign w:val="subscript"/>
          <w:lang w:val="pt-BR"/>
        </w:rPr>
        <w:t>1</w:t>
      </w:r>
      <w:r w:rsidRPr="009F5C44">
        <w:rPr>
          <w:lang w:val="pt-BR"/>
        </w:rPr>
        <w:t xml:space="preserve"> + x</w:t>
      </w:r>
      <w:r w:rsidRPr="009F5C44">
        <w:rPr>
          <w:vertAlign w:val="subscript"/>
          <w:lang w:val="pt-BR"/>
        </w:rPr>
        <w:t>2</w:t>
      </w:r>
      <w:r w:rsidRPr="009F5C44">
        <w:rPr>
          <w:lang w:val="pt-BR"/>
        </w:rPr>
        <w:t>r</w:t>
      </w:r>
      <w:r w:rsidRPr="009F5C44">
        <w:rPr>
          <w:vertAlign w:val="subscript"/>
          <w:lang w:val="pt-BR"/>
        </w:rPr>
        <w:t>2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  <w:rPr>
          <w:lang w:val="pt-BR"/>
        </w:rPr>
      </w:pPr>
      <w:r w:rsidRPr="009F5C44">
        <w:rPr>
          <w:lang w:val="pt-BR"/>
        </w:rPr>
        <w:t>r</w:t>
      </w:r>
      <w:r w:rsidRPr="009F5C44">
        <w:rPr>
          <w:vertAlign w:val="subscript"/>
          <w:lang w:val="pt-BR"/>
        </w:rPr>
        <w:t>p</w:t>
      </w:r>
      <w:r w:rsidRPr="009F5C44">
        <w:rPr>
          <w:lang w:val="pt-BR"/>
        </w:rPr>
        <w:t xml:space="preserve"> = (0.5 </w:t>
      </w:r>
      <w:r>
        <w:sym w:font="Symbol" w:char="F0B4"/>
      </w:r>
      <w:r w:rsidRPr="009F5C44">
        <w:rPr>
          <w:lang w:val="pt-BR"/>
        </w:rPr>
        <w:t xml:space="preserve"> 0.09) + (0.5 </w:t>
      </w:r>
      <w:r>
        <w:sym w:font="Symbol" w:char="F0B4"/>
      </w:r>
      <w:r w:rsidRPr="009F5C44">
        <w:rPr>
          <w:lang w:val="pt-BR"/>
        </w:rPr>
        <w:t xml:space="preserve"> 0.14) = 0.115 = 11.5%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  <w:rPr>
          <w:lang w:val="pt-BR"/>
        </w:rPr>
      </w:pPr>
      <w:r>
        <w:sym w:font="Symbol" w:char="F073"/>
      </w:r>
      <w:r w:rsidRPr="009F5C44">
        <w:rPr>
          <w:vertAlign w:val="subscript"/>
          <w:lang w:val="pt-BR"/>
        </w:rPr>
        <w:t>P</w:t>
      </w:r>
      <w:r w:rsidRPr="009F5C44">
        <w:rPr>
          <w:vertAlign w:val="superscript"/>
          <w:lang w:val="pt-BR"/>
        </w:rPr>
        <w:t>2</w:t>
      </w:r>
      <w:r w:rsidRPr="009F5C44">
        <w:rPr>
          <w:lang w:val="pt-BR"/>
        </w:rPr>
        <w:t xml:space="preserve"> = x</w:t>
      </w:r>
      <w:r w:rsidRPr="009F5C44">
        <w:rPr>
          <w:vertAlign w:val="subscript"/>
          <w:lang w:val="pt-BR"/>
        </w:rPr>
        <w:t>1</w:t>
      </w:r>
      <w:r w:rsidRPr="009F5C44">
        <w:rPr>
          <w:vertAlign w:val="superscript"/>
          <w:lang w:val="pt-BR"/>
        </w:rPr>
        <w:t>2</w:t>
      </w:r>
      <w:r>
        <w:sym w:font="Symbol" w:char="F073"/>
      </w:r>
      <w:r w:rsidRPr="009F5C44">
        <w:rPr>
          <w:vertAlign w:val="subscript"/>
          <w:lang w:val="pt-BR"/>
        </w:rPr>
        <w:t>1</w:t>
      </w:r>
      <w:r w:rsidRPr="009F5C44">
        <w:rPr>
          <w:vertAlign w:val="superscript"/>
          <w:lang w:val="pt-BR"/>
        </w:rPr>
        <w:t>2</w:t>
      </w:r>
      <w:r w:rsidRPr="009F5C44">
        <w:rPr>
          <w:lang w:val="pt-BR"/>
        </w:rPr>
        <w:t xml:space="preserve"> + 2x</w:t>
      </w:r>
      <w:r w:rsidRPr="009F5C44">
        <w:rPr>
          <w:vertAlign w:val="subscript"/>
          <w:lang w:val="pt-BR"/>
        </w:rPr>
        <w:t>1</w:t>
      </w:r>
      <w:r w:rsidRPr="009F5C44">
        <w:rPr>
          <w:lang w:val="pt-BR"/>
        </w:rPr>
        <w:t>x</w:t>
      </w:r>
      <w:r w:rsidRPr="009F5C44">
        <w:rPr>
          <w:vertAlign w:val="subscript"/>
          <w:lang w:val="pt-BR"/>
        </w:rPr>
        <w:t>2</w:t>
      </w:r>
      <w:r>
        <w:sym w:font="Symbol" w:char="F073"/>
      </w:r>
      <w:r w:rsidRPr="009F5C44">
        <w:rPr>
          <w:vertAlign w:val="subscript"/>
          <w:lang w:val="pt-BR"/>
        </w:rPr>
        <w:t>1</w:t>
      </w:r>
      <w:r>
        <w:sym w:font="Symbol" w:char="F073"/>
      </w:r>
      <w:r w:rsidRPr="009F5C44">
        <w:rPr>
          <w:vertAlign w:val="subscript"/>
          <w:lang w:val="pt-BR"/>
        </w:rPr>
        <w:t>2</w:t>
      </w:r>
      <w:r>
        <w:sym w:font="Symbol" w:char="F072"/>
      </w:r>
      <w:r w:rsidRPr="009F5C44">
        <w:rPr>
          <w:vertAlign w:val="subscript"/>
          <w:lang w:val="pt-BR"/>
        </w:rPr>
        <w:t>12</w:t>
      </w:r>
      <w:r w:rsidRPr="009F5C44">
        <w:rPr>
          <w:lang w:val="pt-BR"/>
        </w:rPr>
        <w:t xml:space="preserve"> + x</w:t>
      </w:r>
      <w:r w:rsidRPr="009F5C44">
        <w:rPr>
          <w:vertAlign w:val="subscript"/>
          <w:lang w:val="pt-BR"/>
        </w:rPr>
        <w:t>2</w:t>
      </w:r>
      <w:r w:rsidRPr="009F5C44">
        <w:rPr>
          <w:vertAlign w:val="superscript"/>
          <w:lang w:val="pt-BR"/>
        </w:rPr>
        <w:t>2</w:t>
      </w:r>
      <w:r>
        <w:sym w:font="Symbol" w:char="F073"/>
      </w:r>
      <w:r w:rsidRPr="009F5C44">
        <w:rPr>
          <w:vertAlign w:val="subscript"/>
          <w:lang w:val="pt-BR"/>
        </w:rPr>
        <w:t>2</w:t>
      </w:r>
      <w:r w:rsidRPr="009F5C44">
        <w:rPr>
          <w:vertAlign w:val="superscript"/>
          <w:lang w:val="pt-BR"/>
        </w:rPr>
        <w:t>2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r>
        <w:sym w:font="Symbol" w:char="F073"/>
      </w:r>
      <w:r>
        <w:rPr>
          <w:vertAlign w:val="subscript"/>
        </w:rPr>
        <w:t>P</w:t>
      </w:r>
      <w:r>
        <w:rPr>
          <w:vertAlign w:val="superscript"/>
        </w:rPr>
        <w:t>2</w:t>
      </w:r>
      <w:r>
        <w:t xml:space="preserve"> = (0.5)</w:t>
      </w:r>
      <w:r>
        <w:rPr>
          <w:vertAlign w:val="superscript"/>
        </w:rPr>
        <w:t>2</w:t>
      </w:r>
      <w:r>
        <w:t>(0.10)</w:t>
      </w:r>
      <w:r>
        <w:rPr>
          <w:vertAlign w:val="superscript"/>
        </w:rPr>
        <w:t>2</w:t>
      </w:r>
      <w:r>
        <w:t xml:space="preserve"> + 2(0.5</w:t>
      </w:r>
      <w:proofErr w:type="gramStart"/>
      <w:r>
        <w:t>)(</w:t>
      </w:r>
      <w:proofErr w:type="gramEnd"/>
      <w:r>
        <w:t>0.5)(0.10)(0.16)(0.10) + (0.5)</w:t>
      </w:r>
      <w:r>
        <w:rPr>
          <w:vertAlign w:val="superscript"/>
        </w:rPr>
        <w:t>2</w:t>
      </w:r>
      <w:r>
        <w:t>(0.16)</w:t>
      </w:r>
      <w:r>
        <w:rPr>
          <w:vertAlign w:val="superscript"/>
        </w:rPr>
        <w:t>2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r>
        <w:sym w:font="Symbol" w:char="F073"/>
      </w:r>
      <w:r>
        <w:rPr>
          <w:vertAlign w:val="subscript"/>
        </w:rPr>
        <w:t>P</w:t>
      </w:r>
      <w:r>
        <w:rPr>
          <w:vertAlign w:val="superscript"/>
        </w:rPr>
        <w:t>2</w:t>
      </w:r>
      <w:r>
        <w:t xml:space="preserve"> = 0.0097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r>
        <w:sym w:font="Symbol" w:char="F073"/>
      </w:r>
      <w:r>
        <w:rPr>
          <w:vertAlign w:val="subscript"/>
        </w:rPr>
        <w:t>P</w:t>
      </w:r>
      <w:r>
        <w:t xml:space="preserve"> = 0.985 = 9.85%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left="1440" w:right="-180"/>
      </w:pPr>
      <w:r>
        <w:t>Therefore, he can do even better by investing equal amounts in the corporate bond portfolio and the index fund.  His expected return increases to 11.5% and the standard deviation of his portfolio decreases to 9.85%.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left="720" w:hanging="720"/>
      </w:pPr>
      <w:r>
        <w:t>17.</w:t>
      </w:r>
      <w:r>
        <w:tab/>
        <w:t>First calculate the required rate of return (assuming the expansion assets bear the same level of risk as historical assets):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r>
        <w:t xml:space="preserve">r = </w:t>
      </w:r>
      <w:proofErr w:type="spellStart"/>
      <w:proofErr w:type="gramStart"/>
      <w:r>
        <w:t>r</w:t>
      </w:r>
      <w:r>
        <w:rPr>
          <w:vertAlign w:val="subscript"/>
        </w:rPr>
        <w:t>f</w:t>
      </w:r>
      <w:proofErr w:type="spellEnd"/>
      <w:proofErr w:type="gramEnd"/>
      <w:r>
        <w:t xml:space="preserve"> + </w:t>
      </w:r>
      <w:r>
        <w:sym w:font="Symbol" w:char="F062"/>
      </w:r>
      <w:r>
        <w:t>(</w:t>
      </w:r>
      <w:proofErr w:type="spellStart"/>
      <w:r>
        <w:t>r</w:t>
      </w:r>
      <w:r>
        <w:rPr>
          <w:vertAlign w:val="subscript"/>
        </w:rPr>
        <w:t>m</w:t>
      </w:r>
      <w:proofErr w:type="spellEnd"/>
      <w:r>
        <w:t xml:space="preserve"> </w:t>
      </w:r>
      <w:r>
        <w:rPr>
          <w:rFonts w:cs="Arial"/>
        </w:rPr>
        <w:t>–</w:t>
      </w:r>
      <w:r>
        <w:t xml:space="preserve"> </w:t>
      </w:r>
      <w:proofErr w:type="spellStart"/>
      <w:r>
        <w:t>r</w:t>
      </w:r>
      <w:r>
        <w:rPr>
          <w:vertAlign w:val="subscript"/>
        </w:rPr>
        <w:t>f</w:t>
      </w:r>
      <w:proofErr w:type="spellEnd"/>
      <w:r>
        <w:t>)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r>
        <w:t xml:space="preserve">r = 0.04 + [1.4 </w:t>
      </w:r>
      <w:r>
        <w:sym w:font="Symbol" w:char="F0B4"/>
      </w:r>
      <w:r>
        <w:t xml:space="preserve"> (0.12 </w:t>
      </w:r>
      <w:r>
        <w:rPr>
          <w:rFonts w:cs="Arial"/>
        </w:rPr>
        <w:t>–</w:t>
      </w:r>
      <w:r>
        <w:t xml:space="preserve"> 0.04)] = 0.152 = 15.2%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  <w:r>
        <w:br w:type="page"/>
      </w:r>
      <w:r>
        <w:lastRenderedPageBreak/>
        <w:t>The use this to discount future cash flows; NPV = -25.29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  <w:r>
        <w:tab/>
      </w:r>
    </w:p>
    <w:tbl>
      <w:tblPr>
        <w:tblW w:w="4780" w:type="dxa"/>
        <w:tblInd w:w="801" w:type="dxa"/>
        <w:tblLook w:val="04A0"/>
      </w:tblPr>
      <w:tblGrid>
        <w:gridCol w:w="800"/>
        <w:gridCol w:w="1300"/>
        <w:gridCol w:w="1560"/>
        <w:gridCol w:w="1120"/>
      </w:tblGrid>
      <w:tr w:rsidR="00F00A36" w:rsidRPr="005F4F46" w:rsidTr="00B06CF2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Cash Flow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 xml:space="preserve">Discount factor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PV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-100.00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0.868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13.02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11.30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0.654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9.81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8.52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0.493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7.39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0.428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6.42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0.371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5.57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4.84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4.20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3.64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A36" w:rsidRPr="005F4F46" w:rsidTr="00B06CF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NPV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36" w:rsidRPr="005F4F46" w:rsidRDefault="00F00A36" w:rsidP="00B06C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F46">
              <w:rPr>
                <w:rFonts w:ascii="Calibri" w:hAnsi="Calibri"/>
                <w:color w:val="000000"/>
                <w:sz w:val="22"/>
                <w:szCs w:val="22"/>
              </w:rPr>
              <w:t>-25.29</w:t>
            </w:r>
          </w:p>
        </w:tc>
      </w:tr>
    </w:tbl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hanging="1440"/>
      </w:pPr>
      <w:r>
        <w:t>18.</w:t>
      </w:r>
      <w:r>
        <w:tab/>
        <w:t>a.</w:t>
      </w:r>
      <w:r>
        <w:tab/>
        <w:t>True.  By definition, the factors represent macro-economic risks that cannot be eliminated by diversification.</w:t>
      </w:r>
    </w:p>
    <w:p w:rsidR="00F00A36" w:rsidRDefault="00F00A36" w:rsidP="00F00A36">
      <w:pPr>
        <w:pStyle w:val="Header"/>
        <w:numPr>
          <w:ilvl w:val="0"/>
          <w:numId w:val="6"/>
        </w:numPr>
        <w:tabs>
          <w:tab w:val="clear" w:pos="1440"/>
          <w:tab w:val="clear" w:pos="4320"/>
          <w:tab w:val="clear" w:pos="8640"/>
        </w:tabs>
        <w:spacing w:after="120"/>
      </w:pPr>
      <w:r>
        <w:t>False.  The APT does not specify the factors.</w:t>
      </w:r>
    </w:p>
    <w:p w:rsidR="00F00A36" w:rsidRDefault="00F00A36" w:rsidP="00F00A36">
      <w:pPr>
        <w:pStyle w:val="Header"/>
        <w:numPr>
          <w:ilvl w:val="0"/>
          <w:numId w:val="6"/>
        </w:numPr>
        <w:tabs>
          <w:tab w:val="clear" w:pos="1440"/>
          <w:tab w:val="clear" w:pos="4320"/>
          <w:tab w:val="clear" w:pos="8640"/>
        </w:tabs>
        <w:spacing w:after="120"/>
      </w:pPr>
      <w:r>
        <w:t>True.  Different researchers have proposed and empirically investigated different factors, but there is no widely accepted theory as to what these factors should be.</w:t>
      </w:r>
    </w:p>
    <w:p w:rsidR="00F00A36" w:rsidRDefault="00F00A36" w:rsidP="00F00A36">
      <w:pPr>
        <w:pStyle w:val="Header"/>
        <w:numPr>
          <w:ilvl w:val="1"/>
          <w:numId w:val="14"/>
        </w:numPr>
        <w:tabs>
          <w:tab w:val="clear" w:pos="1800"/>
          <w:tab w:val="clear" w:pos="4320"/>
          <w:tab w:val="clear" w:pos="8640"/>
        </w:tabs>
        <w:ind w:left="1440"/>
      </w:pPr>
      <w:r>
        <w:t>True.  To be useful, we must be able to estimate the relevant parameters.  If this is impossible, for whatever reason, the model itself will be of theoretical interest only.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720"/>
          <w:tab w:val="left" w:pos="1710"/>
        </w:tabs>
        <w:spacing w:after="120"/>
        <w:ind w:left="720" w:hanging="720"/>
      </w:pPr>
      <w:r>
        <w:t>19.</w:t>
      </w:r>
      <w:r>
        <w:tab/>
        <w:t xml:space="preserve">Stock P: r = 5% + (1.0 </w:t>
      </w:r>
      <w:r>
        <w:sym w:font="Symbol" w:char="F0B4"/>
      </w:r>
      <w:r>
        <w:t xml:space="preserve"> 6.4%) + [(</w:t>
      </w:r>
      <w:r>
        <w:rPr>
          <w:rFonts w:cs="Arial"/>
        </w:rPr>
        <w:t>–</w:t>
      </w:r>
      <w:r>
        <w:t xml:space="preserve">2.0) </w:t>
      </w:r>
      <w:r>
        <w:sym w:font="Symbol" w:char="F0B4"/>
      </w:r>
      <w:r>
        <w:t xml:space="preserve"> (</w:t>
      </w:r>
      <w:r>
        <w:rPr>
          <w:rFonts w:cs="Arial"/>
        </w:rPr>
        <w:t>–</w:t>
      </w:r>
      <w:r>
        <w:t>0.6%)] + [(</w:t>
      </w:r>
      <w:r>
        <w:rPr>
          <w:rFonts w:cs="Arial"/>
        </w:rPr>
        <w:t>–</w:t>
      </w:r>
      <w:r>
        <w:t xml:space="preserve">0.2) </w:t>
      </w:r>
      <w:r>
        <w:sym w:font="Symbol" w:char="F0B4"/>
      </w:r>
      <w:r>
        <w:t xml:space="preserve"> 5.1%] = 11.58%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1710"/>
        </w:tabs>
        <w:spacing w:after="120"/>
        <w:ind w:left="720"/>
      </w:pPr>
      <w:r>
        <w:t>Stock P</w:t>
      </w:r>
      <w:r>
        <w:rPr>
          <w:vertAlign w:val="superscript"/>
        </w:rPr>
        <w:t>2</w:t>
      </w:r>
      <w:r>
        <w:t xml:space="preserve">: r = 5% + (1.2 </w:t>
      </w:r>
      <w:r>
        <w:sym w:font="Symbol" w:char="F0B4"/>
      </w:r>
      <w:r>
        <w:t xml:space="preserve"> 6.4%) + [0 </w:t>
      </w:r>
      <w:r>
        <w:sym w:font="Symbol" w:char="F0B4"/>
      </w:r>
      <w:r>
        <w:t xml:space="preserve"> (</w:t>
      </w:r>
      <w:r>
        <w:rPr>
          <w:rFonts w:cs="Arial"/>
        </w:rPr>
        <w:t>–</w:t>
      </w:r>
      <w:r>
        <w:t xml:space="preserve">0.6%)] + (0.3 </w:t>
      </w:r>
      <w:r>
        <w:sym w:font="Symbol" w:char="F0B4"/>
      </w:r>
      <w:r>
        <w:t xml:space="preserve"> 5.1%) = 14.21%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1710"/>
        </w:tabs>
        <w:ind w:left="720"/>
      </w:pPr>
      <w:r>
        <w:t>Stock P</w:t>
      </w:r>
      <w:r>
        <w:rPr>
          <w:vertAlign w:val="superscript"/>
        </w:rPr>
        <w:t>3</w:t>
      </w:r>
      <w:r>
        <w:t xml:space="preserve">: r = 5% + (0.3 </w:t>
      </w:r>
      <w:r>
        <w:sym w:font="Symbol" w:char="F0B4"/>
      </w:r>
      <w:r>
        <w:t xml:space="preserve"> 6.4%) + [0.5 </w:t>
      </w:r>
      <w:r>
        <w:sym w:font="Symbol" w:char="F0B4"/>
      </w:r>
      <w:r>
        <w:t xml:space="preserve"> (</w:t>
      </w:r>
      <w:r>
        <w:rPr>
          <w:rFonts w:cs="Arial"/>
        </w:rPr>
        <w:t>–</w:t>
      </w:r>
      <w:r>
        <w:t xml:space="preserve">0.6%)] + (1.0 </w:t>
      </w:r>
      <w:r>
        <w:sym w:font="Symbol" w:char="F0B4"/>
      </w:r>
      <w:r>
        <w:t xml:space="preserve"> 5.1%) = 11.72%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spacing w:after="120"/>
        <w:ind w:left="720" w:hanging="720"/>
      </w:pPr>
      <w:r>
        <w:t>20.</w:t>
      </w:r>
      <w:r>
        <w:tab/>
        <w:t>a.</w:t>
      </w:r>
      <w:r>
        <w:tab/>
        <w:t>Factor risk exposures: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proofErr w:type="gramStart"/>
      <w:r>
        <w:t>b</w:t>
      </w:r>
      <w:r>
        <w:rPr>
          <w:vertAlign w:val="subscript"/>
        </w:rPr>
        <w:t>1</w:t>
      </w:r>
      <w:r>
        <w:t>(</w:t>
      </w:r>
      <w:proofErr w:type="gramEnd"/>
      <w:r>
        <w:t>Market) = [(1/3)</w:t>
      </w:r>
      <w:r>
        <w:sym w:font="Symbol" w:char="F0B4"/>
      </w:r>
      <w:r>
        <w:t>1.0] + [(1/3)</w:t>
      </w:r>
      <w:r>
        <w:sym w:font="Symbol" w:char="F0B4"/>
      </w:r>
      <w:r>
        <w:t>1.2] + [(1/3)</w:t>
      </w:r>
      <w:r>
        <w:sym w:font="Symbol" w:char="F0B4"/>
      </w:r>
      <w:r>
        <w:t>0.3] = 0.83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proofErr w:type="gramStart"/>
      <w:r>
        <w:t>b</w:t>
      </w:r>
      <w:r>
        <w:rPr>
          <w:vertAlign w:val="subscript"/>
        </w:rPr>
        <w:t>2</w:t>
      </w:r>
      <w:r>
        <w:t>(</w:t>
      </w:r>
      <w:proofErr w:type="gramEnd"/>
      <w:r>
        <w:t>Interest rate) = [(1/3)</w:t>
      </w:r>
      <w:r>
        <w:sym w:font="Symbol" w:char="F0B4"/>
      </w:r>
      <w:r>
        <w:t>(</w:t>
      </w:r>
      <w:r>
        <w:rPr>
          <w:rFonts w:cs="Arial"/>
        </w:rPr>
        <w:t>–</w:t>
      </w:r>
      <w:r>
        <w:t>2.0)] +[(1/3)</w:t>
      </w:r>
      <w:r>
        <w:sym w:font="Symbol" w:char="F0B4"/>
      </w:r>
      <w:r>
        <w:t>0] + [(1/3)</w:t>
      </w:r>
      <w:r>
        <w:sym w:font="Symbol" w:char="F0B4"/>
      </w:r>
      <w:r>
        <w:t xml:space="preserve">0.5] = </w:t>
      </w:r>
      <w:r>
        <w:rPr>
          <w:rFonts w:cs="Arial"/>
        </w:rPr>
        <w:t>–</w:t>
      </w:r>
      <w:r>
        <w:t>0.50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480" w:lineRule="auto"/>
        <w:ind w:left="1440"/>
      </w:pPr>
      <w:proofErr w:type="gramStart"/>
      <w:r>
        <w:t>b</w:t>
      </w:r>
      <w:r>
        <w:rPr>
          <w:vertAlign w:val="subscript"/>
        </w:rPr>
        <w:t>3</w:t>
      </w:r>
      <w:r>
        <w:t>(</w:t>
      </w:r>
      <w:proofErr w:type="gramEnd"/>
      <w:r>
        <w:t>Yield spread) = [(1/3)</w:t>
      </w:r>
      <w:r>
        <w:sym w:font="Symbol" w:char="F0B4"/>
      </w:r>
      <w:r>
        <w:t>(</w:t>
      </w:r>
      <w:r>
        <w:rPr>
          <w:rFonts w:cs="Arial"/>
        </w:rPr>
        <w:t>–</w:t>
      </w:r>
      <w:r>
        <w:t>0.2)] + [(1/3)</w:t>
      </w:r>
      <w:r>
        <w:sym w:font="Symbol" w:char="F0B4"/>
      </w:r>
      <w:r>
        <w:t>0.3] + [(1/3)</w:t>
      </w:r>
      <w:r>
        <w:sym w:font="Symbol" w:char="F0B4"/>
      </w:r>
      <w:r>
        <w:t>1.0] = 0.37</w:t>
      </w:r>
    </w:p>
    <w:p w:rsidR="00F00A36" w:rsidRDefault="00F00A36" w:rsidP="00F00A36">
      <w:pPr>
        <w:pStyle w:val="Header"/>
        <w:numPr>
          <w:ilvl w:val="0"/>
          <w:numId w:val="7"/>
        </w:numPr>
        <w:tabs>
          <w:tab w:val="clear" w:pos="1440"/>
          <w:tab w:val="clear" w:pos="4320"/>
          <w:tab w:val="clear" w:pos="8640"/>
        </w:tabs>
      </w:pPr>
      <w:r>
        <w:br w:type="page"/>
      </w:r>
      <w:proofErr w:type="spellStart"/>
      <w:r>
        <w:lastRenderedPageBreak/>
        <w:t>r</w:t>
      </w:r>
      <w:r>
        <w:rPr>
          <w:vertAlign w:val="subscript"/>
        </w:rPr>
        <w:t>P</w:t>
      </w:r>
      <w:proofErr w:type="spellEnd"/>
      <w:r>
        <w:t xml:space="preserve"> = 5% + (0.83</w:t>
      </w:r>
      <w:r>
        <w:sym w:font="Symbol" w:char="F0B4"/>
      </w:r>
      <w:r>
        <w:t>6.4%) + [(</w:t>
      </w:r>
      <w:r>
        <w:rPr>
          <w:rFonts w:cs="Arial"/>
        </w:rPr>
        <w:t>–</w:t>
      </w:r>
      <w:r>
        <w:t>0.50)</w:t>
      </w:r>
      <w:r>
        <w:sym w:font="Symbol" w:char="F0B4"/>
      </w:r>
      <w:r>
        <w:t>(</w:t>
      </w:r>
      <w:r>
        <w:rPr>
          <w:rFonts w:cs="Arial"/>
        </w:rPr>
        <w:t>–</w:t>
      </w:r>
      <w:r>
        <w:t>0.6%)] + [0.37</w:t>
      </w:r>
      <w:r>
        <w:sym w:font="Symbol" w:char="F0B4"/>
      </w:r>
      <w:r>
        <w:t>5.1%] = 12.50%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 w:hanging="720"/>
      </w:pPr>
      <w:r>
        <w:t>21.</w:t>
      </w:r>
      <w:r>
        <w:tab/>
      </w:r>
      <w:proofErr w:type="spellStart"/>
      <w:proofErr w:type="gramStart"/>
      <w:r>
        <w:t>r</w:t>
      </w:r>
      <w:r>
        <w:rPr>
          <w:vertAlign w:val="subscript"/>
        </w:rPr>
        <w:t>Boeing</w:t>
      </w:r>
      <w:proofErr w:type="spellEnd"/>
      <w:proofErr w:type="gramEnd"/>
      <w:r>
        <w:t xml:space="preserve"> = 0.2% + (0.66 </w:t>
      </w:r>
      <w:r>
        <w:sym w:font="Symbol" w:char="F0B4"/>
      </w:r>
      <w:r>
        <w:t xml:space="preserve"> 7%) + (01.19 </w:t>
      </w:r>
      <w:r>
        <w:sym w:font="Symbol" w:char="F0B4"/>
      </w:r>
      <w:r>
        <w:t xml:space="preserve"> 3.6%) + (-0.76 </w:t>
      </w:r>
      <w:r>
        <w:sym w:font="Symbol" w:char="F0B4"/>
      </w:r>
      <w:r>
        <w:t xml:space="preserve"> 5.2%) = 5.152%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/>
      </w:pPr>
      <w:r>
        <w:t>R</w:t>
      </w:r>
      <w:r>
        <w:rPr>
          <w:vertAlign w:val="subscript"/>
        </w:rPr>
        <w:t>J&amp;J</w:t>
      </w:r>
      <w:r>
        <w:t xml:space="preserve"> = 0.2% + (0.54 </w:t>
      </w:r>
      <w:r>
        <w:sym w:font="Symbol" w:char="F0B4"/>
      </w:r>
      <w:r>
        <w:t xml:space="preserve"> 7%) + (-0.58 </w:t>
      </w:r>
      <w:r>
        <w:sym w:font="Symbol" w:char="F0B4"/>
      </w:r>
      <w:r>
        <w:t xml:space="preserve"> 3.6%) + (0.19 </w:t>
      </w:r>
      <w:r>
        <w:sym w:font="Symbol" w:char="F0B4"/>
      </w:r>
      <w:r>
        <w:t xml:space="preserve"> 5.2%) = 2.88%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/>
      </w:pPr>
      <w:proofErr w:type="spellStart"/>
      <w:r>
        <w:t>R</w:t>
      </w:r>
      <w:r>
        <w:rPr>
          <w:vertAlign w:val="subscript"/>
        </w:rPr>
        <w:t>Dow</w:t>
      </w:r>
      <w:proofErr w:type="spellEnd"/>
      <w:r>
        <w:t xml:space="preserve"> = 0.2</w:t>
      </w:r>
      <w:proofErr w:type="gramStart"/>
      <w:r>
        <w:t>%  +</w:t>
      </w:r>
      <w:proofErr w:type="gramEnd"/>
      <w:r>
        <w:t xml:space="preserve"> (1.05 </w:t>
      </w:r>
      <w:r>
        <w:sym w:font="Symbol" w:char="F0B4"/>
      </w:r>
      <w:r>
        <w:t xml:space="preserve"> 7%) + (</w:t>
      </w:r>
      <w:r>
        <w:rPr>
          <w:rFonts w:cs="Arial"/>
        </w:rPr>
        <w:t>–</w:t>
      </w:r>
      <w:r>
        <w:t xml:space="preserve">0.15 </w:t>
      </w:r>
      <w:r>
        <w:sym w:font="Symbol" w:char="F0B4"/>
      </w:r>
      <w:r>
        <w:t xml:space="preserve"> 3.6%) + (0.77 </w:t>
      </w:r>
      <w:r>
        <w:sym w:font="Symbol" w:char="F0B4"/>
      </w:r>
      <w:r>
        <w:t xml:space="preserve"> 5.2%) = 11.014%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/>
      </w:pPr>
      <w:proofErr w:type="spellStart"/>
      <w:proofErr w:type="gramStart"/>
      <w:r>
        <w:t>r</w:t>
      </w:r>
      <w:r>
        <w:rPr>
          <w:vertAlign w:val="subscript"/>
        </w:rPr>
        <w:t>Msft</w:t>
      </w:r>
      <w:proofErr w:type="spellEnd"/>
      <w:proofErr w:type="gramEnd"/>
      <w:r>
        <w:t xml:space="preserve">= 0.2% + (0.91 </w:t>
      </w:r>
      <w:r>
        <w:sym w:font="Symbol" w:char="F0B4"/>
      </w:r>
      <w:r>
        <w:t xml:space="preserve"> 7%) + (</w:t>
      </w:r>
      <w:r>
        <w:rPr>
          <w:rFonts w:cs="Arial"/>
        </w:rPr>
        <w:t></w:t>
      </w:r>
      <w:r>
        <w:t xml:space="preserve">0.04 </w:t>
      </w:r>
      <w:r>
        <w:rPr>
          <w:rFonts w:cs="Arial"/>
        </w:rPr>
        <w:t>×</w:t>
      </w:r>
      <w:r>
        <w:t xml:space="preserve"> 3.6%) + (</w:t>
      </w:r>
      <w:r>
        <w:rPr>
          <w:rFonts w:cs="Arial"/>
        </w:rPr>
        <w:t>–0.4</w:t>
      </w:r>
      <w:r>
        <w:t xml:space="preserve"> </w:t>
      </w:r>
      <w:r>
        <w:sym w:font="Symbol" w:char="F0B4"/>
      </w:r>
      <w:r>
        <w:t xml:space="preserve"> 5.2%) = 4.346%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 w:hanging="720"/>
      </w:pPr>
      <w:r>
        <w:t>22.</w:t>
      </w:r>
      <w:r>
        <w:tab/>
      </w:r>
      <w:proofErr w:type="gramStart"/>
      <w:r>
        <w:t>In</w:t>
      </w:r>
      <w:proofErr w:type="gramEnd"/>
      <w:r>
        <w:t xml:space="preserve"> general, for a two-security portfolio: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r>
        <w:sym w:font="Symbol" w:char="F073"/>
      </w:r>
      <w:r>
        <w:rPr>
          <w:vertAlign w:val="subscript"/>
        </w:rPr>
        <w:t>p</w:t>
      </w:r>
      <w:r>
        <w:rPr>
          <w:vertAlign w:val="superscript"/>
        </w:rPr>
        <w:t>2</w:t>
      </w:r>
      <w:r>
        <w:t xml:space="preserve"> = x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sym w:font="Symbol" w:char="F073"/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 xml:space="preserve"> + 2x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sym w:font="Symbol" w:char="F073"/>
      </w:r>
      <w:r>
        <w:rPr>
          <w:vertAlign w:val="subscript"/>
        </w:rPr>
        <w:t>1</w:t>
      </w:r>
      <w:r>
        <w:sym w:font="Symbol" w:char="F073"/>
      </w:r>
      <w:r>
        <w:rPr>
          <w:vertAlign w:val="subscript"/>
        </w:rPr>
        <w:t>2</w:t>
      </w:r>
      <w:r>
        <w:sym w:font="Symbol" w:char="F072"/>
      </w:r>
      <w:r>
        <w:rPr>
          <w:vertAlign w:val="subscript"/>
        </w:rPr>
        <w:t>12</w:t>
      </w:r>
      <w:r>
        <w:t xml:space="preserve"> + x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sym w:font="Symbol" w:char="F073"/>
      </w:r>
      <w:r>
        <w:rPr>
          <w:vertAlign w:val="subscript"/>
        </w:rPr>
        <w:t>2</w:t>
      </w:r>
      <w:r>
        <w:rPr>
          <w:vertAlign w:val="superscript"/>
        </w:rPr>
        <w:t>2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/>
      </w:pPr>
      <w:proofErr w:type="gramStart"/>
      <w:r>
        <w:t>and</w:t>
      </w:r>
      <w:proofErr w:type="gramEnd"/>
      <w:r>
        <w:t>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proofErr w:type="gramStart"/>
      <w:r>
        <w:t>x</w:t>
      </w:r>
      <w:r>
        <w:rPr>
          <w:vertAlign w:val="subscript"/>
        </w:rPr>
        <w:t>1</w:t>
      </w:r>
      <w:proofErr w:type="gramEnd"/>
      <w:r>
        <w:t xml:space="preserve"> + x</w:t>
      </w:r>
      <w:r>
        <w:rPr>
          <w:vertAlign w:val="subscript"/>
        </w:rPr>
        <w:t>2</w:t>
      </w:r>
      <w:r>
        <w:t xml:space="preserve"> = 1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/>
      </w:pPr>
      <w:r>
        <w:t>Substituting for x</w:t>
      </w:r>
      <w:r>
        <w:rPr>
          <w:vertAlign w:val="subscript"/>
        </w:rPr>
        <w:t>2</w:t>
      </w:r>
      <w:r>
        <w:t xml:space="preserve"> in terms of x</w:t>
      </w:r>
      <w:r>
        <w:rPr>
          <w:vertAlign w:val="subscript"/>
        </w:rPr>
        <w:t>1</w:t>
      </w:r>
      <w:r>
        <w:t xml:space="preserve"> and rearranging: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r>
        <w:sym w:font="Symbol" w:char="F073"/>
      </w:r>
      <w:r>
        <w:rPr>
          <w:vertAlign w:val="subscript"/>
        </w:rPr>
        <w:t>p</w:t>
      </w:r>
      <w:r>
        <w:rPr>
          <w:vertAlign w:val="superscript"/>
        </w:rPr>
        <w:t>2</w:t>
      </w:r>
      <w:r>
        <w:t xml:space="preserve"> = </w:t>
      </w:r>
      <w:r>
        <w:sym w:font="Symbol" w:char="F073"/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>x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 xml:space="preserve"> + 2</w:t>
      </w:r>
      <w:r>
        <w:sym w:font="Symbol" w:char="F073"/>
      </w:r>
      <w:r>
        <w:rPr>
          <w:vertAlign w:val="subscript"/>
        </w:rPr>
        <w:t>1</w:t>
      </w:r>
      <w:r>
        <w:sym w:font="Symbol" w:char="F073"/>
      </w:r>
      <w:r>
        <w:rPr>
          <w:vertAlign w:val="subscript"/>
        </w:rPr>
        <w:t>2</w:t>
      </w:r>
      <w:r>
        <w:sym w:font="Symbol" w:char="F072"/>
      </w:r>
      <w:r>
        <w:rPr>
          <w:vertAlign w:val="subscript"/>
        </w:rPr>
        <w:t>12</w:t>
      </w:r>
      <w:r>
        <w:t>(x</w:t>
      </w:r>
      <w:r>
        <w:rPr>
          <w:vertAlign w:val="subscript"/>
        </w:rPr>
        <w:t>1</w:t>
      </w:r>
      <w:r>
        <w:t xml:space="preserve"> </w:t>
      </w:r>
      <w:r>
        <w:rPr>
          <w:rFonts w:cs="Arial"/>
        </w:rPr>
        <w:t>–</w:t>
      </w:r>
      <w:r>
        <w:t xml:space="preserve"> x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 xml:space="preserve">) + </w:t>
      </w:r>
      <w:r>
        <w:sym w:font="Symbol" w:char="F073"/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 xml:space="preserve">(1 </w:t>
      </w:r>
      <w:r>
        <w:rPr>
          <w:rFonts w:cs="Arial"/>
        </w:rPr>
        <w:t>–</w:t>
      </w:r>
      <w:r>
        <w:t xml:space="preserve"> x</w:t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2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/>
      </w:pPr>
      <w:r>
        <w:t xml:space="preserve">Taking the derivative of </w:t>
      </w:r>
      <w:r>
        <w:sym w:font="Symbol" w:char="F073"/>
      </w:r>
      <w:r>
        <w:rPr>
          <w:vertAlign w:val="subscript"/>
        </w:rPr>
        <w:t>p</w:t>
      </w:r>
      <w:r>
        <w:rPr>
          <w:vertAlign w:val="superscript"/>
        </w:rPr>
        <w:t>2</w:t>
      </w:r>
      <w:r>
        <w:t xml:space="preserve"> with respect to x</w:t>
      </w:r>
      <w:r>
        <w:rPr>
          <w:vertAlign w:val="subscript"/>
        </w:rPr>
        <w:t>1</w:t>
      </w:r>
      <w:r>
        <w:t>, setting the derivative equal to zero and rearranging: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proofErr w:type="gramStart"/>
      <w:r>
        <w:t>x</w:t>
      </w:r>
      <w:r>
        <w:rPr>
          <w:vertAlign w:val="subscript"/>
        </w:rPr>
        <w:t>1</w:t>
      </w:r>
      <w:proofErr w:type="gramEnd"/>
      <w:r>
        <w:t>(</w:t>
      </w:r>
      <w:r>
        <w:sym w:font="Symbol" w:char="F073"/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 xml:space="preserve"> </w:t>
      </w:r>
      <w:r>
        <w:rPr>
          <w:rFonts w:cs="Arial"/>
        </w:rPr>
        <w:t>–</w:t>
      </w:r>
      <w:r>
        <w:t xml:space="preserve"> 2</w:t>
      </w:r>
      <w:r>
        <w:sym w:font="Symbol" w:char="F073"/>
      </w:r>
      <w:r>
        <w:rPr>
          <w:vertAlign w:val="subscript"/>
        </w:rPr>
        <w:t>1</w:t>
      </w:r>
      <w:r>
        <w:sym w:font="Symbol" w:char="F073"/>
      </w:r>
      <w:r>
        <w:rPr>
          <w:vertAlign w:val="subscript"/>
        </w:rPr>
        <w:t>2</w:t>
      </w:r>
      <w:r>
        <w:sym w:font="Symbol" w:char="F072"/>
      </w:r>
      <w:r>
        <w:rPr>
          <w:vertAlign w:val="subscript"/>
        </w:rPr>
        <w:t>12</w:t>
      </w:r>
      <w:r>
        <w:t xml:space="preserve"> + </w:t>
      </w:r>
      <w:r>
        <w:sym w:font="Symbol" w:char="F073"/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>) + (</w:t>
      </w:r>
      <w:r>
        <w:sym w:font="Symbol" w:char="F073"/>
      </w:r>
      <w:r>
        <w:rPr>
          <w:vertAlign w:val="subscript"/>
        </w:rPr>
        <w:t>1</w:t>
      </w:r>
      <w:r>
        <w:sym w:font="Symbol" w:char="F073"/>
      </w:r>
      <w:r>
        <w:rPr>
          <w:vertAlign w:val="subscript"/>
        </w:rPr>
        <w:t>2</w:t>
      </w:r>
      <w:r>
        <w:sym w:font="Symbol" w:char="F072"/>
      </w:r>
      <w:r>
        <w:rPr>
          <w:vertAlign w:val="subscript"/>
        </w:rPr>
        <w:t>12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>
        <w:sym w:font="Symbol" w:char="F073"/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>) = 0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/>
      </w:pPr>
      <w:r>
        <w:t>Let Campbell Soup be security one (</w:t>
      </w:r>
      <w:r>
        <w:sym w:font="Symbol" w:char="F073"/>
      </w:r>
      <w:r>
        <w:rPr>
          <w:vertAlign w:val="subscript"/>
        </w:rPr>
        <w:t>1</w:t>
      </w:r>
      <w:r>
        <w:t xml:space="preserve"> = 0.158) and Boeing be security two (</w:t>
      </w:r>
      <w:r>
        <w:sym w:font="Symbol" w:char="F073"/>
      </w:r>
      <w:r>
        <w:rPr>
          <w:vertAlign w:val="subscript"/>
        </w:rPr>
        <w:t>2</w:t>
      </w:r>
      <w:r>
        <w:t xml:space="preserve"> = 0.237).  Substituting these numbers, along with </w:t>
      </w:r>
      <w:r>
        <w:sym w:font="Symbol" w:char="F072"/>
      </w:r>
      <w:r>
        <w:rPr>
          <w:vertAlign w:val="subscript"/>
        </w:rPr>
        <w:t>12</w:t>
      </w:r>
      <w:r>
        <w:t xml:space="preserve"> = 0.18, we have: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proofErr w:type="gramStart"/>
      <w:r>
        <w:t>x</w:t>
      </w:r>
      <w:r>
        <w:rPr>
          <w:vertAlign w:val="subscript"/>
        </w:rPr>
        <w:t>1</w:t>
      </w:r>
      <w:proofErr w:type="gramEnd"/>
      <w:r>
        <w:t xml:space="preserve"> = 0.731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/>
      </w:pPr>
      <w:r>
        <w:t>Therefore: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left="1440"/>
      </w:pPr>
      <w:proofErr w:type="gramStart"/>
      <w:r>
        <w:t>x</w:t>
      </w:r>
      <w:r>
        <w:rPr>
          <w:vertAlign w:val="subscript"/>
        </w:rPr>
        <w:t>2</w:t>
      </w:r>
      <w:proofErr w:type="gramEnd"/>
      <w:r>
        <w:t xml:space="preserve"> = 0.269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720"/>
        </w:tabs>
        <w:spacing w:after="120"/>
        <w:ind w:left="1440" w:hanging="1440"/>
      </w:pPr>
      <w:r>
        <w:t>23.</w:t>
      </w:r>
      <w:r>
        <w:tab/>
      </w:r>
      <w:proofErr w:type="gramStart"/>
      <w:r>
        <w:t>a</w:t>
      </w:r>
      <w:proofErr w:type="gramEnd"/>
      <w:r>
        <w:t>.</w:t>
      </w:r>
      <w:r>
        <w:tab/>
        <w:t>The ratio (expected risk premium/standard deviation) for each of the four portfolios is as follows: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  <w:tab w:val="left" w:pos="3600"/>
        </w:tabs>
        <w:spacing w:after="120"/>
        <w:ind w:left="2160"/>
        <w:rPr>
          <w:lang w:val="pt-BR"/>
        </w:rPr>
      </w:pPr>
      <w:r w:rsidRPr="009F5C44">
        <w:rPr>
          <w:lang w:val="pt-BR"/>
        </w:rPr>
        <w:t>Portfolio A:</w:t>
      </w:r>
      <w:r w:rsidRPr="009F5C44">
        <w:rPr>
          <w:lang w:val="pt-BR"/>
        </w:rPr>
        <w:tab/>
        <w:t>(22.8 – 10.0)/50.9 = 0.251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  <w:tab w:val="left" w:pos="3600"/>
        </w:tabs>
        <w:spacing w:after="120"/>
        <w:ind w:left="2160"/>
        <w:rPr>
          <w:lang w:val="pt-BR"/>
        </w:rPr>
      </w:pPr>
      <w:r w:rsidRPr="009F5C44">
        <w:rPr>
          <w:lang w:val="pt-BR"/>
        </w:rPr>
        <w:t>Portfolio B:</w:t>
      </w:r>
      <w:r w:rsidRPr="009F5C44">
        <w:rPr>
          <w:lang w:val="pt-BR"/>
        </w:rPr>
        <w:tab/>
        <w:t>(10.5 – 10.0)/16.0 = 0.031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  <w:tab w:val="left" w:pos="3600"/>
        </w:tabs>
        <w:spacing w:after="120"/>
        <w:ind w:left="2160"/>
        <w:rPr>
          <w:lang w:val="pt-BR"/>
        </w:rPr>
      </w:pPr>
      <w:r w:rsidRPr="009F5C44">
        <w:rPr>
          <w:lang w:val="pt-BR"/>
        </w:rPr>
        <w:t>Portfolio C:</w:t>
      </w:r>
      <w:r w:rsidRPr="009F5C44">
        <w:rPr>
          <w:lang w:val="pt-BR"/>
        </w:rPr>
        <w:tab/>
        <w:t>(4.2 – 10.0)/8.8 = -0.659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</w:tabs>
        <w:ind w:left="1440"/>
        <w:rPr>
          <w:lang w:val="pt-BR"/>
        </w:rPr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left="1440"/>
      </w:pPr>
      <w:r>
        <w:t>Therefore, an investor should hold Portfolio A.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numPr>
          <w:ilvl w:val="0"/>
          <w:numId w:val="8"/>
        </w:numPr>
        <w:tabs>
          <w:tab w:val="clear" w:pos="1440"/>
          <w:tab w:val="clear" w:pos="4320"/>
          <w:tab w:val="clear" w:pos="8640"/>
        </w:tabs>
        <w:spacing w:after="120"/>
      </w:pPr>
      <w:r>
        <w:t>The beta for Amazon relative to Portfolio A is identical.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/>
      </w:pPr>
      <w:r>
        <w:br w:type="page"/>
      </w:r>
    </w:p>
    <w:tbl>
      <w:tblPr>
        <w:tblW w:w="0" w:type="auto"/>
        <w:tblInd w:w="2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E"/>
      </w:tblPr>
      <w:tblGrid>
        <w:gridCol w:w="1152"/>
        <w:gridCol w:w="1501"/>
      </w:tblGrid>
      <w:tr w:rsidR="00F00A36" w:rsidTr="00B06CF2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F00A36" w:rsidRDefault="00F00A36" w:rsidP="00B06CF2"/>
        </w:tc>
        <w:tc>
          <w:tcPr>
            <w:tcW w:w="1501" w:type="dxa"/>
          </w:tcPr>
          <w:p w:rsidR="00F00A36" w:rsidRDefault="00F00A36" w:rsidP="00B06CF2">
            <w:pPr>
              <w:pStyle w:val="Header"/>
              <w:tabs>
                <w:tab w:val="clear" w:pos="4320"/>
                <w:tab w:val="clear" w:pos="8640"/>
                <w:tab w:val="decimal" w:pos="252"/>
              </w:tabs>
              <w:spacing w:before="40" w:after="40"/>
            </w:pPr>
          </w:p>
        </w:tc>
      </w:tr>
    </w:tbl>
    <w:p w:rsidR="00F00A36" w:rsidRDefault="00F00A36" w:rsidP="00F00A36">
      <w:pPr>
        <w:pStyle w:val="Header"/>
        <w:numPr>
          <w:ilvl w:val="0"/>
          <w:numId w:val="8"/>
        </w:numPr>
        <w:tabs>
          <w:tab w:val="clear" w:pos="1440"/>
          <w:tab w:val="clear" w:pos="4320"/>
          <w:tab w:val="clear" w:pos="8640"/>
        </w:tabs>
        <w:spacing w:after="120"/>
      </w:pPr>
      <w:r>
        <w:t>If the interest rate is 5%, then Portfolio C becomes the optimal portfolio, as indicated by the following calculations: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3600"/>
        </w:tabs>
        <w:spacing w:line="360" w:lineRule="auto"/>
        <w:ind w:left="2160"/>
      </w:pPr>
    </w:p>
    <w:p w:rsidR="00F00A36" w:rsidRPr="009F5C44" w:rsidRDefault="00F00A36" w:rsidP="00F00A36">
      <w:pPr>
        <w:pStyle w:val="Header"/>
        <w:tabs>
          <w:tab w:val="clear" w:pos="4320"/>
          <w:tab w:val="clear" w:pos="8640"/>
          <w:tab w:val="left" w:pos="3600"/>
        </w:tabs>
        <w:spacing w:after="120"/>
        <w:ind w:left="2160"/>
        <w:rPr>
          <w:lang w:val="pt-BR"/>
        </w:rPr>
      </w:pPr>
      <w:r w:rsidRPr="009F5C44">
        <w:rPr>
          <w:lang w:val="pt-BR"/>
        </w:rPr>
        <w:t>Portfolio A:</w:t>
      </w:r>
      <w:r w:rsidRPr="009F5C44">
        <w:rPr>
          <w:lang w:val="pt-BR"/>
        </w:rPr>
        <w:tab/>
        <w:t>(22.8 – 5.0)/50.9 = 0.35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  <w:tab w:val="left" w:pos="3600"/>
        </w:tabs>
        <w:spacing w:after="120"/>
        <w:ind w:left="2160"/>
        <w:rPr>
          <w:lang w:val="pt-BR"/>
        </w:rPr>
      </w:pPr>
      <w:r w:rsidRPr="009F5C44">
        <w:rPr>
          <w:lang w:val="pt-BR"/>
        </w:rPr>
        <w:t>Portfolio B:</w:t>
      </w:r>
      <w:r w:rsidRPr="009F5C44">
        <w:rPr>
          <w:lang w:val="pt-BR"/>
        </w:rPr>
        <w:tab/>
        <w:t>(10.5 – 5.0)/16.0 = 0.344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  <w:tab w:val="left" w:pos="3600"/>
        </w:tabs>
        <w:spacing w:after="120"/>
        <w:ind w:left="2160"/>
        <w:rPr>
          <w:lang w:val="pt-BR"/>
        </w:rPr>
      </w:pPr>
      <w:r w:rsidRPr="009F5C44">
        <w:rPr>
          <w:lang w:val="pt-BR"/>
        </w:rPr>
        <w:t>Portfolio C:</w:t>
      </w:r>
      <w:r w:rsidRPr="009F5C44">
        <w:rPr>
          <w:lang w:val="pt-BR"/>
        </w:rPr>
        <w:tab/>
        <w:t>(4.2 – 5.0)/8.8 = -0.091</w:t>
      </w:r>
    </w:p>
    <w:p w:rsidR="00F00A36" w:rsidRPr="009F5C44" w:rsidRDefault="00F00A36" w:rsidP="00F00A36">
      <w:pPr>
        <w:pStyle w:val="Header"/>
        <w:tabs>
          <w:tab w:val="clear" w:pos="4320"/>
          <w:tab w:val="clear" w:pos="8640"/>
        </w:tabs>
        <w:rPr>
          <w:lang w:val="pt-BR"/>
        </w:rPr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firstLine="720"/>
      </w:pPr>
      <w:r>
        <w:t>The results do not change.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120" w:lineRule="exact"/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120" w:lineRule="exact"/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720" w:hanging="720"/>
      </w:pPr>
      <w:r>
        <w:t>24.</w:t>
      </w:r>
      <w:r>
        <w:tab/>
        <w:t xml:space="preserve">Let </w:t>
      </w:r>
      <w:proofErr w:type="spellStart"/>
      <w:proofErr w:type="gramStart"/>
      <w:r>
        <w:t>r</w:t>
      </w:r>
      <w:r>
        <w:rPr>
          <w:vertAlign w:val="subscript"/>
        </w:rPr>
        <w:t>x</w:t>
      </w:r>
      <w:proofErr w:type="spellEnd"/>
      <w:proofErr w:type="gramEnd"/>
      <w:r>
        <w:t xml:space="preserve"> be the risk premium on investment X, let x</w:t>
      </w:r>
      <w:r>
        <w:rPr>
          <w:vertAlign w:val="subscript"/>
        </w:rPr>
        <w:t>x</w:t>
      </w:r>
      <w:r>
        <w:t xml:space="preserve"> be the portfolio weight of X (and similarly for Investments Y and Z, respectively).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720"/>
      </w:pPr>
      <w:proofErr w:type="gramStart"/>
      <w:r>
        <w:t>a</w:t>
      </w:r>
      <w:proofErr w:type="gramEnd"/>
      <w:r>
        <w:t>.</w:t>
      </w:r>
      <w:r>
        <w:tab/>
      </w:r>
      <w:proofErr w:type="spellStart"/>
      <w:r>
        <w:t>r</w:t>
      </w:r>
      <w:r>
        <w:rPr>
          <w:vertAlign w:val="subscript"/>
        </w:rPr>
        <w:t>x</w:t>
      </w:r>
      <w:proofErr w:type="spellEnd"/>
      <w:r>
        <w:t xml:space="preserve"> = (1.75</w:t>
      </w:r>
      <w:r>
        <w:sym w:font="Symbol" w:char="F0B4"/>
      </w:r>
      <w:r>
        <w:t>0.04) + (0.25</w:t>
      </w:r>
      <w:r>
        <w:sym w:font="Symbol" w:char="F0B4"/>
      </w:r>
      <w:r>
        <w:t>0.08) = 0.09 = 9.0%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proofErr w:type="spellStart"/>
      <w:proofErr w:type="gramStart"/>
      <w:r>
        <w:t>r</w:t>
      </w:r>
      <w:r>
        <w:rPr>
          <w:vertAlign w:val="subscript"/>
        </w:rPr>
        <w:t>y</w:t>
      </w:r>
      <w:proofErr w:type="spellEnd"/>
      <w:proofErr w:type="gramEnd"/>
      <w:r>
        <w:t xml:space="preserve"> = [(</w:t>
      </w:r>
      <w:r>
        <w:rPr>
          <w:rFonts w:cs="Arial"/>
        </w:rPr>
        <w:t>–</w:t>
      </w:r>
      <w:r>
        <w:t>1.00)</w:t>
      </w:r>
      <w:r>
        <w:sym w:font="Symbol" w:char="F0B4"/>
      </w:r>
      <w:r>
        <w:t>0.04] + (2.00</w:t>
      </w:r>
      <w:r>
        <w:sym w:font="Symbol" w:char="F0B4"/>
      </w:r>
      <w:r>
        <w:t>0.08) = 0.12 = 12.0%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480" w:lineRule="auto"/>
        <w:ind w:left="1440"/>
      </w:pPr>
      <w:proofErr w:type="spellStart"/>
      <w:proofErr w:type="gramStart"/>
      <w:r>
        <w:t>r</w:t>
      </w:r>
      <w:r>
        <w:rPr>
          <w:vertAlign w:val="subscript"/>
        </w:rPr>
        <w:t>z</w:t>
      </w:r>
      <w:proofErr w:type="spellEnd"/>
      <w:proofErr w:type="gramEnd"/>
      <w:r>
        <w:t xml:space="preserve"> = (2.00</w:t>
      </w:r>
      <w:r>
        <w:sym w:font="Symbol" w:char="F0B4"/>
      </w:r>
      <w:r>
        <w:t>0.04) + (1.00</w:t>
      </w:r>
      <w:r>
        <w:sym w:font="Symbol" w:char="F0B4"/>
      </w:r>
      <w:r>
        <w:t>0.08) = 0.16 = 16.0%</w:t>
      </w:r>
    </w:p>
    <w:p w:rsidR="00F00A36" w:rsidRDefault="00F00A36" w:rsidP="00F00A36">
      <w:pPr>
        <w:pStyle w:val="Header"/>
        <w:numPr>
          <w:ilvl w:val="0"/>
          <w:numId w:val="9"/>
        </w:numPr>
        <w:tabs>
          <w:tab w:val="clear" w:pos="1440"/>
          <w:tab w:val="clear" w:pos="4320"/>
          <w:tab w:val="clear" w:pos="8640"/>
        </w:tabs>
        <w:spacing w:after="120"/>
      </w:pPr>
      <w:r>
        <w:t>This portfolio has the following portfolio weights: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proofErr w:type="gramStart"/>
      <w:r>
        <w:t>x</w:t>
      </w:r>
      <w:r>
        <w:rPr>
          <w:vertAlign w:val="subscript"/>
        </w:rPr>
        <w:t>x</w:t>
      </w:r>
      <w:proofErr w:type="gramEnd"/>
      <w:r>
        <w:t xml:space="preserve"> = 200/(200 + 50 </w:t>
      </w:r>
      <w:r>
        <w:rPr>
          <w:rFonts w:cs="Arial"/>
        </w:rPr>
        <w:t>–</w:t>
      </w:r>
      <w:r>
        <w:t xml:space="preserve"> 150) = 2.0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proofErr w:type="spellStart"/>
      <w:proofErr w:type="gramStart"/>
      <w:r>
        <w:t>x</w:t>
      </w:r>
      <w:r>
        <w:rPr>
          <w:vertAlign w:val="subscript"/>
        </w:rPr>
        <w:t>y</w:t>
      </w:r>
      <w:proofErr w:type="spellEnd"/>
      <w:proofErr w:type="gramEnd"/>
      <w:r>
        <w:t xml:space="preserve"> = 50/(200 + 50 </w:t>
      </w:r>
      <w:r>
        <w:rPr>
          <w:rFonts w:cs="Arial"/>
        </w:rPr>
        <w:t>–</w:t>
      </w:r>
      <w:r>
        <w:t xml:space="preserve"> 150) = 0.5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proofErr w:type="spellStart"/>
      <w:proofErr w:type="gramStart"/>
      <w:r>
        <w:t>x</w:t>
      </w:r>
      <w:r>
        <w:rPr>
          <w:vertAlign w:val="subscript"/>
        </w:rPr>
        <w:t>z</w:t>
      </w:r>
      <w:proofErr w:type="spellEnd"/>
      <w:proofErr w:type="gramEnd"/>
      <w:r>
        <w:t xml:space="preserve"> = </w:t>
      </w:r>
      <w:r>
        <w:rPr>
          <w:rFonts w:cs="Arial"/>
        </w:rPr>
        <w:t>–</w:t>
      </w:r>
      <w:r>
        <w:t xml:space="preserve">150/(200 + 50 </w:t>
      </w:r>
      <w:r>
        <w:rPr>
          <w:rFonts w:cs="Arial"/>
        </w:rPr>
        <w:t>–</w:t>
      </w:r>
      <w:r>
        <w:t xml:space="preserve"> 150) = </w:t>
      </w:r>
      <w:r>
        <w:rPr>
          <w:rFonts w:cs="Arial"/>
        </w:rPr>
        <w:t>–</w:t>
      </w:r>
      <w:r>
        <w:t>1.5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r>
        <w:t>The portfolio’s sensitivities to the factors are: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2880"/>
        </w:tabs>
        <w:spacing w:after="120"/>
        <w:ind w:left="1440"/>
      </w:pPr>
      <w:r>
        <w:t>Factor 1:</w:t>
      </w:r>
      <w:r>
        <w:tab/>
        <w:t>(2.0</w:t>
      </w:r>
      <w:r>
        <w:sym w:font="Symbol" w:char="F0B4"/>
      </w:r>
      <w:r>
        <w:t>1.75) + [0.5</w:t>
      </w:r>
      <w:r>
        <w:sym w:font="Symbol" w:char="F0B4"/>
      </w:r>
      <w:r>
        <w:t>(</w:t>
      </w:r>
      <w:r>
        <w:rPr>
          <w:rFonts w:cs="Arial"/>
        </w:rPr>
        <w:t>–</w:t>
      </w:r>
      <w:r>
        <w:t>1.00)] – (1.5</w:t>
      </w:r>
      <w:r>
        <w:sym w:font="Symbol" w:char="F0B4"/>
      </w:r>
      <w:r>
        <w:t>2.00) = 0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2880"/>
        </w:tabs>
        <w:spacing w:after="120"/>
        <w:ind w:left="1440"/>
      </w:pPr>
      <w:r>
        <w:t>Factor 2:</w:t>
      </w:r>
      <w:r>
        <w:tab/>
        <w:t>(2.0</w:t>
      </w:r>
      <w:r>
        <w:sym w:font="Symbol" w:char="F0B4"/>
      </w:r>
      <w:r>
        <w:t>0.25) + (0.5</w:t>
      </w:r>
      <w:r>
        <w:sym w:font="Symbol" w:char="F0B4"/>
      </w:r>
      <w:r>
        <w:t>2.00) – (1.5</w:t>
      </w:r>
      <w:r>
        <w:sym w:font="Symbol" w:char="F0B4"/>
      </w:r>
      <w:r>
        <w:t>1.00) = 0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480" w:lineRule="auto"/>
        <w:ind w:left="1440"/>
      </w:pPr>
      <w:r>
        <w:t>Because the sensitivities are both zero, the expected risk premium is zero.</w:t>
      </w:r>
    </w:p>
    <w:p w:rsidR="00F00A36" w:rsidRDefault="00F00A36" w:rsidP="00F00A36">
      <w:pPr>
        <w:pStyle w:val="Header"/>
        <w:numPr>
          <w:ilvl w:val="0"/>
          <w:numId w:val="9"/>
        </w:numPr>
        <w:tabs>
          <w:tab w:val="clear" w:pos="1440"/>
          <w:tab w:val="clear" w:pos="4320"/>
          <w:tab w:val="clear" w:pos="8640"/>
        </w:tabs>
        <w:spacing w:after="120"/>
      </w:pPr>
      <w:r>
        <w:t>This portfolio has the following portfolio weights: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proofErr w:type="gramStart"/>
      <w:r>
        <w:t>x</w:t>
      </w:r>
      <w:r>
        <w:rPr>
          <w:vertAlign w:val="subscript"/>
        </w:rPr>
        <w:t>x</w:t>
      </w:r>
      <w:proofErr w:type="gramEnd"/>
      <w:r>
        <w:t xml:space="preserve"> = 80/(80 + 60 </w:t>
      </w:r>
      <w:r>
        <w:rPr>
          <w:rFonts w:cs="Arial"/>
        </w:rPr>
        <w:t>–</w:t>
      </w:r>
      <w:r>
        <w:t xml:space="preserve"> 40) = 0.8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proofErr w:type="spellStart"/>
      <w:proofErr w:type="gramStart"/>
      <w:r>
        <w:t>x</w:t>
      </w:r>
      <w:r>
        <w:rPr>
          <w:vertAlign w:val="subscript"/>
        </w:rPr>
        <w:t>y</w:t>
      </w:r>
      <w:proofErr w:type="spellEnd"/>
      <w:proofErr w:type="gramEnd"/>
      <w:r>
        <w:t xml:space="preserve"> = 60/(80 + 60 </w:t>
      </w:r>
      <w:r>
        <w:rPr>
          <w:rFonts w:cs="Arial"/>
        </w:rPr>
        <w:t>–</w:t>
      </w:r>
      <w:r>
        <w:t xml:space="preserve"> 40) = 0.6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proofErr w:type="spellStart"/>
      <w:proofErr w:type="gramStart"/>
      <w:r>
        <w:t>x</w:t>
      </w:r>
      <w:r>
        <w:rPr>
          <w:vertAlign w:val="subscript"/>
        </w:rPr>
        <w:t>z</w:t>
      </w:r>
      <w:proofErr w:type="spellEnd"/>
      <w:proofErr w:type="gramEnd"/>
      <w:r>
        <w:t xml:space="preserve"> = </w:t>
      </w:r>
      <w:r>
        <w:rPr>
          <w:rFonts w:cs="Arial"/>
        </w:rPr>
        <w:t>–</w:t>
      </w:r>
      <w:r>
        <w:t xml:space="preserve">40/(80 + 60 </w:t>
      </w:r>
      <w:r>
        <w:rPr>
          <w:rFonts w:cs="Arial"/>
        </w:rPr>
        <w:t>–</w:t>
      </w:r>
      <w:r>
        <w:t xml:space="preserve"> 40) = </w:t>
      </w:r>
      <w:r>
        <w:rPr>
          <w:rFonts w:cs="Arial"/>
        </w:rPr>
        <w:t>–</w:t>
      </w:r>
      <w:r>
        <w:t>0.4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spacing w:after="120"/>
        <w:ind w:left="1440"/>
      </w:pPr>
      <w:r>
        <w:t>The sensitivities of this portfolio to the factors are: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2520"/>
        </w:tabs>
        <w:spacing w:after="120"/>
        <w:ind w:left="1440"/>
      </w:pPr>
      <w:r>
        <w:t>Factor 1:</w:t>
      </w:r>
      <w:r>
        <w:tab/>
        <w:t>(0.8</w:t>
      </w:r>
      <w:r>
        <w:sym w:font="Symbol" w:char="F0B4"/>
      </w:r>
      <w:r>
        <w:t>1.75) + [0.6</w:t>
      </w:r>
      <w:r>
        <w:sym w:font="Symbol" w:char="F0B4"/>
      </w:r>
      <w:r>
        <w:t>(</w:t>
      </w:r>
      <w:r>
        <w:rPr>
          <w:rFonts w:cs="Arial"/>
        </w:rPr>
        <w:t>–</w:t>
      </w:r>
      <w:r>
        <w:t>1.00)] – (0.4</w:t>
      </w:r>
      <w:r>
        <w:sym w:font="Symbol" w:char="F0B4"/>
      </w:r>
      <w:r>
        <w:t>2.00) = 0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2520"/>
        </w:tabs>
        <w:spacing w:after="120"/>
        <w:ind w:left="1440"/>
      </w:pPr>
      <w:r>
        <w:t>Factor 2:</w:t>
      </w:r>
      <w:r>
        <w:tab/>
        <w:t>(0.8</w:t>
      </w:r>
      <w:r>
        <w:sym w:font="Symbol" w:char="F0B4"/>
      </w:r>
      <w:r>
        <w:t>0.25) + (0.6</w:t>
      </w:r>
      <w:r>
        <w:sym w:font="Symbol" w:char="F0B4"/>
      </w:r>
      <w:r>
        <w:t>2.00) – (0.4</w:t>
      </w:r>
      <w:r>
        <w:sym w:font="Symbol" w:char="F0B4"/>
      </w:r>
      <w:r>
        <w:t>1.00) = 1.0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left="1440"/>
      </w:pPr>
      <w:r>
        <w:t>The expected risk premium for this portfolio is equal to the expected risk premium for the second factor, or 8 percent.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120" w:lineRule="exact"/>
      </w:pPr>
      <w:r>
        <w:br w:type="page"/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120" w:lineRule="exact"/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120" w:lineRule="exact"/>
      </w:pPr>
    </w:p>
    <w:p w:rsidR="00F00A36" w:rsidRDefault="00F00A36" w:rsidP="00F00A36">
      <w:pPr>
        <w:pStyle w:val="Header"/>
        <w:numPr>
          <w:ilvl w:val="0"/>
          <w:numId w:val="9"/>
        </w:numPr>
        <w:tabs>
          <w:tab w:val="clear" w:pos="1440"/>
          <w:tab w:val="clear" w:pos="4320"/>
          <w:tab w:val="clear" w:pos="8640"/>
        </w:tabs>
        <w:spacing w:after="120"/>
      </w:pPr>
      <w:r>
        <w:t>This portfolio has the following portfolio weights: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proofErr w:type="gramStart"/>
      <w:r>
        <w:t>x</w:t>
      </w:r>
      <w:r>
        <w:rPr>
          <w:vertAlign w:val="subscript"/>
        </w:rPr>
        <w:t>x</w:t>
      </w:r>
      <w:proofErr w:type="gramEnd"/>
      <w:r>
        <w:t xml:space="preserve"> = 160/(160 + 20 </w:t>
      </w:r>
      <w:r>
        <w:rPr>
          <w:rFonts w:cs="Arial"/>
        </w:rPr>
        <w:t>–</w:t>
      </w:r>
      <w:r>
        <w:t xml:space="preserve"> 80) = 1.6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proofErr w:type="spellStart"/>
      <w:proofErr w:type="gramStart"/>
      <w:r>
        <w:t>x</w:t>
      </w:r>
      <w:r>
        <w:rPr>
          <w:vertAlign w:val="subscript"/>
        </w:rPr>
        <w:t>y</w:t>
      </w:r>
      <w:proofErr w:type="spellEnd"/>
      <w:proofErr w:type="gramEnd"/>
      <w:r>
        <w:t xml:space="preserve"> = 20/(160 + 20 </w:t>
      </w:r>
      <w:r>
        <w:rPr>
          <w:rFonts w:cs="Arial"/>
        </w:rPr>
        <w:t>–</w:t>
      </w:r>
      <w:r>
        <w:t xml:space="preserve"> 80 ) = 0.2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</w:pPr>
      <w:proofErr w:type="spellStart"/>
      <w:proofErr w:type="gramStart"/>
      <w:r>
        <w:t>x</w:t>
      </w:r>
      <w:r>
        <w:rPr>
          <w:vertAlign w:val="subscript"/>
        </w:rPr>
        <w:t>z</w:t>
      </w:r>
      <w:proofErr w:type="spellEnd"/>
      <w:proofErr w:type="gramEnd"/>
      <w:r>
        <w:t xml:space="preserve"> = </w:t>
      </w:r>
      <w:r>
        <w:rPr>
          <w:rFonts w:cs="Arial"/>
        </w:rPr>
        <w:t>–</w:t>
      </w:r>
      <w:r>
        <w:t xml:space="preserve">80/(160 + 20 </w:t>
      </w:r>
      <w:r>
        <w:rPr>
          <w:rFonts w:cs="Arial"/>
        </w:rPr>
        <w:t>–</w:t>
      </w:r>
      <w:r>
        <w:t xml:space="preserve"> 80) = </w:t>
      </w:r>
      <w:r>
        <w:rPr>
          <w:rFonts w:cs="Arial"/>
        </w:rPr>
        <w:t>–</w:t>
      </w:r>
      <w:r>
        <w:t>0.8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  <w:jc w:val="both"/>
      </w:pPr>
      <w:r>
        <w:t>The sensitivities of this portfolio to the factors are: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2520"/>
        </w:tabs>
        <w:spacing w:after="120"/>
        <w:ind w:left="1440"/>
        <w:jc w:val="both"/>
      </w:pPr>
      <w:r>
        <w:t>Factor 1:</w:t>
      </w:r>
      <w:r>
        <w:tab/>
        <w:t>(1.6</w:t>
      </w:r>
      <w:r>
        <w:sym w:font="Symbol" w:char="F0B4"/>
      </w:r>
      <w:r>
        <w:t>1.75) + [0.2</w:t>
      </w:r>
      <w:r>
        <w:sym w:font="Symbol" w:char="F0B4"/>
      </w:r>
      <w:r>
        <w:t>(</w:t>
      </w:r>
      <w:r>
        <w:rPr>
          <w:rFonts w:cs="Arial"/>
        </w:rPr>
        <w:t>–</w:t>
      </w:r>
      <w:r>
        <w:t xml:space="preserve">1.00)] </w:t>
      </w:r>
      <w:r>
        <w:rPr>
          <w:rFonts w:cs="Arial"/>
        </w:rPr>
        <w:t>–</w:t>
      </w:r>
      <w:r>
        <w:t xml:space="preserve"> (0.8</w:t>
      </w:r>
      <w:r>
        <w:sym w:font="Symbol" w:char="F0B4"/>
      </w:r>
      <w:r>
        <w:t>2.00) = 1.0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2520"/>
        </w:tabs>
        <w:spacing w:after="120"/>
        <w:ind w:left="1440"/>
        <w:jc w:val="both"/>
      </w:pPr>
      <w:r>
        <w:t>Factor 2:</w:t>
      </w:r>
      <w:r>
        <w:tab/>
        <w:t>(1.6</w:t>
      </w:r>
      <w:r>
        <w:sym w:font="Symbol" w:char="F0B4"/>
      </w:r>
      <w:r>
        <w:t>0.25) + (0.2</w:t>
      </w:r>
      <w:r>
        <w:sym w:font="Symbol" w:char="F0B4"/>
      </w:r>
      <w:r>
        <w:t>2.00) – (0.8</w:t>
      </w:r>
      <w:r>
        <w:sym w:font="Symbol" w:char="F0B4"/>
      </w:r>
      <w:r>
        <w:t>1.00) = 0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left="1440"/>
      </w:pPr>
      <w:r>
        <w:t>The expected risk premium for this portfolio is equal to the expected risk premium for the first factor, or 4 percent.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jc w:val="both"/>
      </w:pPr>
    </w:p>
    <w:p w:rsidR="00F00A36" w:rsidRDefault="00F00A36" w:rsidP="00F00A36">
      <w:pPr>
        <w:pStyle w:val="Header"/>
        <w:numPr>
          <w:ilvl w:val="0"/>
          <w:numId w:val="9"/>
        </w:numPr>
        <w:tabs>
          <w:tab w:val="clear" w:pos="1440"/>
          <w:tab w:val="clear" w:pos="4320"/>
          <w:tab w:val="clear" w:pos="8640"/>
        </w:tabs>
        <w:spacing w:after="120"/>
      </w:pPr>
      <w:r>
        <w:t>The sensitivity requirement can be expressed as: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2520"/>
        </w:tabs>
        <w:spacing w:after="120"/>
        <w:ind w:left="1440"/>
        <w:jc w:val="both"/>
      </w:pPr>
      <w:r>
        <w:t>Factor 1:</w:t>
      </w:r>
      <w:r>
        <w:tab/>
        <w:t>(x</w:t>
      </w:r>
      <w:r>
        <w:rPr>
          <w:vertAlign w:val="subscript"/>
        </w:rPr>
        <w:t>x</w:t>
      </w:r>
      <w:proofErr w:type="gramStart"/>
      <w:r>
        <w:t>)(</w:t>
      </w:r>
      <w:proofErr w:type="gramEnd"/>
      <w:r>
        <w:t>1.75) + (</w:t>
      </w:r>
      <w:proofErr w:type="spellStart"/>
      <w:r>
        <w:t>x</w:t>
      </w:r>
      <w:r>
        <w:rPr>
          <w:vertAlign w:val="subscript"/>
        </w:rPr>
        <w:t>y</w:t>
      </w:r>
      <w:proofErr w:type="spellEnd"/>
      <w:r>
        <w:t>)(</w:t>
      </w:r>
      <w:r>
        <w:rPr>
          <w:rFonts w:cs="Arial"/>
        </w:rPr>
        <w:t>–</w:t>
      </w:r>
      <w:r>
        <w:t>1.00) + (</w:t>
      </w:r>
      <w:proofErr w:type="spellStart"/>
      <w:r>
        <w:t>x</w:t>
      </w:r>
      <w:r>
        <w:rPr>
          <w:vertAlign w:val="subscript"/>
        </w:rPr>
        <w:t>z</w:t>
      </w:r>
      <w:proofErr w:type="spellEnd"/>
      <w:r>
        <w:t>)(2.00) = 0.5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  <w:jc w:val="both"/>
      </w:pPr>
      <w:r>
        <w:t>In addition, we know that: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  <w:jc w:val="both"/>
      </w:pPr>
      <w:proofErr w:type="gramStart"/>
      <w:r>
        <w:t>x</w:t>
      </w:r>
      <w:r>
        <w:rPr>
          <w:vertAlign w:val="subscript"/>
        </w:rPr>
        <w:t>x</w:t>
      </w:r>
      <w:proofErr w:type="gramEnd"/>
      <w:r>
        <w:t xml:space="preserve"> + </w:t>
      </w:r>
      <w:proofErr w:type="spellStart"/>
      <w:r>
        <w:t>x</w:t>
      </w:r>
      <w:r>
        <w:rPr>
          <w:vertAlign w:val="subscript"/>
        </w:rPr>
        <w:t>y</w:t>
      </w:r>
      <w:proofErr w:type="spellEnd"/>
      <w:r>
        <w:t xml:space="preserve"> + </w:t>
      </w:r>
      <w:proofErr w:type="spellStart"/>
      <w:r>
        <w:t>x</w:t>
      </w:r>
      <w:r>
        <w:rPr>
          <w:vertAlign w:val="subscript"/>
        </w:rPr>
        <w:t>z</w:t>
      </w:r>
      <w:proofErr w:type="spellEnd"/>
      <w:r>
        <w:t xml:space="preserve"> = 1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r>
        <w:t xml:space="preserve">With two linear equations in three variables, there </w:t>
      </w:r>
      <w:proofErr w:type="gramStart"/>
      <w:r>
        <w:t>is</w:t>
      </w:r>
      <w:proofErr w:type="gramEnd"/>
      <w:r>
        <w:t xml:space="preserve"> an infinite number of solutions.  Two of these are: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2160"/>
          <w:tab w:val="left" w:pos="3600"/>
          <w:tab w:val="left" w:pos="5040"/>
        </w:tabs>
        <w:spacing w:after="120"/>
        <w:ind w:left="1440"/>
        <w:jc w:val="both"/>
      </w:pPr>
      <w:r>
        <w:t>1.</w:t>
      </w:r>
      <w:r>
        <w:tab/>
      </w:r>
      <w:proofErr w:type="gramStart"/>
      <w:r>
        <w:t>x</w:t>
      </w:r>
      <w:r>
        <w:rPr>
          <w:vertAlign w:val="subscript"/>
        </w:rPr>
        <w:t>x</w:t>
      </w:r>
      <w:proofErr w:type="gramEnd"/>
      <w:r>
        <w:t xml:space="preserve"> = 0</w:t>
      </w:r>
      <w:r>
        <w:tab/>
      </w:r>
      <w:proofErr w:type="spellStart"/>
      <w:r>
        <w:t>x</w:t>
      </w:r>
      <w:r>
        <w:rPr>
          <w:vertAlign w:val="subscript"/>
        </w:rPr>
        <w:t>y</w:t>
      </w:r>
      <w:proofErr w:type="spellEnd"/>
      <w:r>
        <w:t xml:space="preserve"> = 0.5</w:t>
      </w:r>
      <w:r>
        <w:tab/>
      </w:r>
      <w:proofErr w:type="spellStart"/>
      <w:r>
        <w:t>x</w:t>
      </w:r>
      <w:r>
        <w:rPr>
          <w:vertAlign w:val="subscript"/>
        </w:rPr>
        <w:t>z</w:t>
      </w:r>
      <w:proofErr w:type="spellEnd"/>
      <w:r>
        <w:t xml:space="preserve"> = 0.5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2160"/>
          <w:tab w:val="left" w:pos="3600"/>
          <w:tab w:val="left" w:pos="5040"/>
        </w:tabs>
        <w:spacing w:after="120"/>
        <w:ind w:left="1440"/>
        <w:jc w:val="both"/>
      </w:pPr>
      <w:r>
        <w:t>2.</w:t>
      </w:r>
      <w:r>
        <w:tab/>
      </w:r>
      <w:proofErr w:type="gramStart"/>
      <w:r>
        <w:t>x</w:t>
      </w:r>
      <w:r>
        <w:rPr>
          <w:vertAlign w:val="subscript"/>
        </w:rPr>
        <w:t>x</w:t>
      </w:r>
      <w:proofErr w:type="gramEnd"/>
      <w:r>
        <w:t xml:space="preserve"> = 6/11</w:t>
      </w:r>
      <w:r>
        <w:tab/>
      </w:r>
      <w:proofErr w:type="spellStart"/>
      <w:r>
        <w:t>x</w:t>
      </w:r>
      <w:r>
        <w:rPr>
          <w:vertAlign w:val="subscript"/>
        </w:rPr>
        <w:t>y</w:t>
      </w:r>
      <w:proofErr w:type="spellEnd"/>
      <w:r>
        <w:t xml:space="preserve"> = 5/11</w:t>
      </w:r>
      <w:r>
        <w:tab/>
      </w:r>
      <w:proofErr w:type="spellStart"/>
      <w:r>
        <w:t>x</w:t>
      </w:r>
      <w:r>
        <w:rPr>
          <w:vertAlign w:val="subscript"/>
        </w:rPr>
        <w:t>z</w:t>
      </w:r>
      <w:proofErr w:type="spellEnd"/>
      <w:r>
        <w:t xml:space="preserve"> = 0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  <w:jc w:val="both"/>
      </w:pPr>
      <w:r>
        <w:t>The risk premiums for these two funds are: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  <w:jc w:val="both"/>
      </w:pPr>
      <w:r>
        <w:t>r</w:t>
      </w:r>
      <w:r>
        <w:rPr>
          <w:vertAlign w:val="subscript"/>
        </w:rPr>
        <w:t>1</w:t>
      </w:r>
      <w:r>
        <w:t xml:space="preserve"> = 0</w:t>
      </w:r>
      <w:r>
        <w:sym w:font="Symbol" w:char="F0B4"/>
      </w:r>
      <w:r>
        <w:t xml:space="preserve">[(1.75 </w:t>
      </w:r>
      <w:r>
        <w:sym w:font="Symbol" w:char="F0B4"/>
      </w:r>
      <w:r>
        <w:t xml:space="preserve"> 0.04) + (0.25 </w:t>
      </w:r>
      <w:r>
        <w:sym w:font="Symbol" w:char="F0B4"/>
      </w:r>
      <w:r>
        <w:t xml:space="preserve"> 0.08)]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890"/>
        <w:jc w:val="both"/>
      </w:pPr>
      <w:r>
        <w:t>+ (0.5</w:t>
      </w:r>
      <w:proofErr w:type="gramStart"/>
      <w:r>
        <w:t>)</w:t>
      </w:r>
      <w:proofErr w:type="gramEnd"/>
      <w:r>
        <w:sym w:font="Symbol" w:char="F0B4"/>
      </w:r>
      <w:r>
        <w:t>[(</w:t>
      </w:r>
      <w:r>
        <w:rPr>
          <w:rFonts w:cs="Arial"/>
        </w:rPr>
        <w:t>–</w:t>
      </w:r>
      <w:r>
        <w:t xml:space="preserve">1.00 </w:t>
      </w:r>
      <w:r>
        <w:sym w:font="Symbol" w:char="F0B4"/>
      </w:r>
      <w:r>
        <w:t xml:space="preserve"> 0.04) + (2.00 </w:t>
      </w:r>
      <w:r>
        <w:sym w:font="Symbol" w:char="F0B4"/>
      </w:r>
      <w:r>
        <w:t xml:space="preserve"> 0.08)]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890"/>
        <w:jc w:val="both"/>
      </w:pPr>
      <w:r>
        <w:t>+ (0.5</w:t>
      </w:r>
      <w:proofErr w:type="gramStart"/>
      <w:r>
        <w:t>)</w:t>
      </w:r>
      <w:proofErr w:type="gramEnd"/>
      <w:r>
        <w:sym w:font="Symbol" w:char="F0B4"/>
      </w:r>
      <w:r>
        <w:t xml:space="preserve">[(2.00 </w:t>
      </w:r>
      <w:r>
        <w:sym w:font="Symbol" w:char="F0B4"/>
      </w:r>
      <w:r>
        <w:t xml:space="preserve"> 0.04) + (1.00 </w:t>
      </w:r>
      <w:r>
        <w:sym w:font="Symbol" w:char="F0B4"/>
      </w:r>
      <w:r>
        <w:t xml:space="preserve"> 0.08)] = 0.14 = 14.0%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  <w:jc w:val="both"/>
      </w:pPr>
      <w:r>
        <w:t>r</w:t>
      </w:r>
      <w:r>
        <w:rPr>
          <w:vertAlign w:val="subscript"/>
        </w:rPr>
        <w:t>2</w:t>
      </w:r>
      <w:r>
        <w:t xml:space="preserve"> = (6/11</w:t>
      </w:r>
      <w:proofErr w:type="gramStart"/>
      <w:r>
        <w:t>)</w:t>
      </w:r>
      <w:proofErr w:type="gramEnd"/>
      <w:r>
        <w:sym w:font="Symbol" w:char="F0B4"/>
      </w:r>
      <w:r>
        <w:t xml:space="preserve">[(1.75 </w:t>
      </w:r>
      <w:r>
        <w:sym w:font="Symbol" w:char="F0B4"/>
      </w:r>
      <w:r>
        <w:t xml:space="preserve"> 0.04) + (0.25 </w:t>
      </w:r>
      <w:r>
        <w:sym w:font="Symbol" w:char="F0B4"/>
      </w:r>
      <w:r>
        <w:t xml:space="preserve"> 0.08)]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890"/>
        <w:jc w:val="both"/>
      </w:pPr>
      <w:proofErr w:type="gramStart"/>
      <w:r>
        <w:t>+(</w:t>
      </w:r>
      <w:proofErr w:type="gramEnd"/>
      <w:r>
        <w:t>5/11)</w:t>
      </w:r>
      <w:r>
        <w:sym w:font="Symbol" w:char="F0B4"/>
      </w:r>
      <w:r>
        <w:t>[(</w:t>
      </w:r>
      <w:r>
        <w:rPr>
          <w:rFonts w:cs="Arial"/>
        </w:rPr>
        <w:t>–</w:t>
      </w:r>
      <w:r>
        <w:t xml:space="preserve">1.00 </w:t>
      </w:r>
      <w:r>
        <w:sym w:font="Symbol" w:char="F0B4"/>
      </w:r>
      <w:r>
        <w:t xml:space="preserve"> 0.04) + (2.00 </w:t>
      </w:r>
      <w:r>
        <w:sym w:font="Symbol" w:char="F0B4"/>
      </w:r>
      <w:r>
        <w:t xml:space="preserve"> 0.08)]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890"/>
        <w:jc w:val="both"/>
      </w:pPr>
      <w:r>
        <w:t xml:space="preserve">+0 </w:t>
      </w:r>
      <w:r>
        <w:sym w:font="Symbol" w:char="F0B4"/>
      </w:r>
      <w:r>
        <w:t xml:space="preserve"> [(2.00 </w:t>
      </w:r>
      <w:r>
        <w:sym w:font="Symbol" w:char="F0B4"/>
      </w:r>
      <w:r>
        <w:t xml:space="preserve"> 0.04) + (1.00 </w:t>
      </w:r>
      <w:r>
        <w:sym w:font="Symbol" w:char="F0B4"/>
      </w:r>
      <w:r>
        <w:t xml:space="preserve"> 0.08)] = 0.104 = 10.4%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ind w:left="1440"/>
      </w:pPr>
      <w:r>
        <w:t>These risk premiums differ because, while each fund has a sensitivity of 0.5 to factor 1, they differ in their sensitivities to factor 2.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120" w:lineRule="exact"/>
        <w:jc w:val="both"/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120" w:lineRule="exact"/>
        <w:jc w:val="both"/>
      </w:pP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120" w:lineRule="exact"/>
        <w:jc w:val="both"/>
      </w:pPr>
    </w:p>
    <w:p w:rsidR="00F00A36" w:rsidRDefault="00F00A36" w:rsidP="00F00A36">
      <w:pPr>
        <w:pStyle w:val="Header"/>
        <w:numPr>
          <w:ilvl w:val="0"/>
          <w:numId w:val="9"/>
        </w:numPr>
        <w:tabs>
          <w:tab w:val="clear" w:pos="1440"/>
          <w:tab w:val="clear" w:pos="4320"/>
          <w:tab w:val="clear" w:pos="8640"/>
        </w:tabs>
        <w:spacing w:after="120"/>
      </w:pPr>
      <w:r>
        <w:t>Because the sensitivities to the two factors are the same as in Part (b), one portfolio with zero sensitivity to each factor is given by: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3600"/>
          <w:tab w:val="left" w:pos="5040"/>
        </w:tabs>
        <w:spacing w:after="120"/>
        <w:ind w:left="2160"/>
        <w:jc w:val="both"/>
      </w:pPr>
      <w:proofErr w:type="gramStart"/>
      <w:r>
        <w:t>x</w:t>
      </w:r>
      <w:r>
        <w:rPr>
          <w:vertAlign w:val="subscript"/>
        </w:rPr>
        <w:t>x</w:t>
      </w:r>
      <w:proofErr w:type="gramEnd"/>
      <w:r>
        <w:rPr>
          <w:vertAlign w:val="subscript"/>
        </w:rPr>
        <w:t xml:space="preserve"> </w:t>
      </w:r>
      <w:r>
        <w:t>= 2.0</w:t>
      </w:r>
      <w:r>
        <w:tab/>
      </w:r>
      <w:proofErr w:type="spellStart"/>
      <w:r>
        <w:t>x</w:t>
      </w:r>
      <w:r>
        <w:rPr>
          <w:vertAlign w:val="subscript"/>
        </w:rPr>
        <w:t>y</w:t>
      </w:r>
      <w:proofErr w:type="spellEnd"/>
      <w:r>
        <w:t xml:space="preserve"> = 0.5</w:t>
      </w:r>
      <w:r>
        <w:tab/>
      </w:r>
      <w:proofErr w:type="spellStart"/>
      <w:r>
        <w:t>x</w:t>
      </w:r>
      <w:r>
        <w:rPr>
          <w:vertAlign w:val="subscript"/>
        </w:rPr>
        <w:t>z</w:t>
      </w:r>
      <w:proofErr w:type="spellEnd"/>
      <w:r>
        <w:t xml:space="preserve"> = </w:t>
      </w:r>
      <w:r>
        <w:rPr>
          <w:rFonts w:cs="Arial"/>
        </w:rPr>
        <w:t>–</w:t>
      </w:r>
      <w:r>
        <w:t>1.5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  <w:jc w:val="both"/>
      </w:pPr>
      <w:r>
        <w:t>The risk premium for this portfolio is: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2160"/>
        <w:jc w:val="both"/>
      </w:pPr>
      <w:r>
        <w:t>(2.0</w:t>
      </w:r>
      <w:r>
        <w:sym w:font="Symbol" w:char="F0B4"/>
      </w:r>
      <w:r>
        <w:t>0.08) + (0.5</w:t>
      </w:r>
      <w:r>
        <w:sym w:font="Symbol" w:char="F0B4"/>
      </w:r>
      <w:r>
        <w:t>0.14) – (1.5</w:t>
      </w:r>
      <w:r>
        <w:sym w:font="Symbol" w:char="F0B4"/>
      </w:r>
      <w:r>
        <w:t xml:space="preserve">0.16) = </w:t>
      </w:r>
      <w:r>
        <w:rPr>
          <w:rFonts w:cs="Arial"/>
        </w:rPr>
        <w:t>–</w:t>
      </w:r>
      <w:r>
        <w:t>0.01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r>
        <w:br w:type="column"/>
      </w:r>
      <w:r>
        <w:lastRenderedPageBreak/>
        <w:t>Because this is an example of a portfolio with zero sensitivity to each factor and a nonzero risk premium, it is clear that the Arbitrage Pricing Theory does not hold in this case.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after="120"/>
        <w:ind w:left="1440"/>
      </w:pPr>
      <w:r>
        <w:t>A portfolio with a positive risk premium is:</w:t>
      </w:r>
    </w:p>
    <w:p w:rsidR="00F00A36" w:rsidRDefault="00F00A36" w:rsidP="00F00A36">
      <w:pPr>
        <w:pStyle w:val="Header"/>
        <w:tabs>
          <w:tab w:val="clear" w:pos="4320"/>
          <w:tab w:val="clear" w:pos="8640"/>
          <w:tab w:val="left" w:pos="3600"/>
          <w:tab w:val="left" w:pos="5040"/>
        </w:tabs>
        <w:ind w:left="2160"/>
        <w:jc w:val="both"/>
      </w:pPr>
      <w:proofErr w:type="gramStart"/>
      <w:r>
        <w:t>x</w:t>
      </w:r>
      <w:r>
        <w:rPr>
          <w:vertAlign w:val="subscript"/>
        </w:rPr>
        <w:t>x</w:t>
      </w:r>
      <w:proofErr w:type="gramEnd"/>
      <w:r>
        <w:rPr>
          <w:vertAlign w:val="subscript"/>
        </w:rPr>
        <w:t xml:space="preserve"> </w:t>
      </w:r>
      <w:r>
        <w:t xml:space="preserve">= </w:t>
      </w:r>
      <w:r>
        <w:rPr>
          <w:rFonts w:cs="Arial"/>
        </w:rPr>
        <w:t>–</w:t>
      </w:r>
      <w:r>
        <w:t>2.0</w:t>
      </w:r>
      <w:r>
        <w:tab/>
      </w:r>
      <w:proofErr w:type="spellStart"/>
      <w:r>
        <w:t>x</w:t>
      </w:r>
      <w:r>
        <w:rPr>
          <w:vertAlign w:val="subscript"/>
        </w:rPr>
        <w:t>y</w:t>
      </w:r>
      <w:proofErr w:type="spellEnd"/>
      <w:r>
        <w:t xml:space="preserve"> = </w:t>
      </w:r>
      <w:r>
        <w:rPr>
          <w:rFonts w:cs="Arial"/>
        </w:rPr>
        <w:t>–</w:t>
      </w:r>
      <w:r>
        <w:t>0.5</w:t>
      </w:r>
      <w:r>
        <w:tab/>
      </w:r>
      <w:proofErr w:type="spellStart"/>
      <w:r>
        <w:t>x</w:t>
      </w:r>
      <w:r>
        <w:rPr>
          <w:vertAlign w:val="subscript"/>
        </w:rPr>
        <w:t>z</w:t>
      </w:r>
      <w:proofErr w:type="spellEnd"/>
      <w:r>
        <w:t xml:space="preserve"> = 1.5</w:t>
      </w:r>
    </w:p>
    <w:p w:rsidR="00F00A36" w:rsidRDefault="00F00A36" w:rsidP="00F00A36">
      <w:pPr>
        <w:pStyle w:val="Header"/>
        <w:tabs>
          <w:tab w:val="clear" w:pos="4320"/>
          <w:tab w:val="clear" w:pos="8640"/>
        </w:tabs>
        <w:spacing w:line="360" w:lineRule="auto"/>
        <w:jc w:val="both"/>
      </w:pPr>
    </w:p>
    <w:p w:rsidR="00BD3BC2" w:rsidRDefault="00BD3BC2"/>
    <w:sectPr w:rsidR="00BD3BC2" w:rsidSect="00F00A36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A6" w:rsidRDefault="00533E9D" w:rsidP="009F5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6A6" w:rsidRDefault="00533E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44" w:rsidRPr="009F5C44" w:rsidRDefault="00533E9D" w:rsidP="009F5C44">
    <w:pPr>
      <w:pStyle w:val="Footer"/>
      <w:framePr w:w="685" w:wrap="around" w:vAnchor="text" w:hAnchor="page" w:x="5482" w:y="7"/>
      <w:jc w:val="center"/>
      <w:rPr>
        <w:rStyle w:val="PageNumber"/>
        <w:rFonts w:ascii="Times New Roman" w:hAnsi="Times New Roman"/>
        <w:sz w:val="20"/>
      </w:rPr>
    </w:pPr>
    <w:r w:rsidRPr="009F5C44">
      <w:rPr>
        <w:rStyle w:val="PageNumber"/>
        <w:rFonts w:ascii="Times New Roman" w:hAnsi="Times New Roman"/>
        <w:sz w:val="20"/>
      </w:rPr>
      <w:t>8-</w:t>
    </w:r>
    <w:r w:rsidRPr="009F5C44">
      <w:rPr>
        <w:rStyle w:val="PageNumber"/>
        <w:rFonts w:ascii="Times New Roman" w:hAnsi="Times New Roman"/>
        <w:sz w:val="20"/>
      </w:rPr>
      <w:fldChar w:fldCharType="begin"/>
    </w:r>
    <w:r w:rsidRPr="009F5C44">
      <w:rPr>
        <w:rStyle w:val="PageNumber"/>
        <w:rFonts w:ascii="Times New Roman" w:hAnsi="Times New Roman"/>
        <w:sz w:val="20"/>
      </w:rPr>
      <w:instrText xml:space="preserve">PAGE  </w:instrText>
    </w:r>
    <w:r w:rsidRPr="009F5C44">
      <w:rPr>
        <w:rStyle w:val="PageNumber"/>
        <w:rFonts w:ascii="Times New Roman" w:hAnsi="Times New Roman"/>
        <w:sz w:val="20"/>
      </w:rPr>
      <w:fldChar w:fldCharType="separate"/>
    </w:r>
    <w:r w:rsidR="00F00A36">
      <w:rPr>
        <w:rStyle w:val="PageNumber"/>
        <w:rFonts w:ascii="Times New Roman" w:hAnsi="Times New Roman"/>
        <w:noProof/>
        <w:sz w:val="20"/>
      </w:rPr>
      <w:t>1</w:t>
    </w:r>
    <w:r w:rsidRPr="009F5C44">
      <w:rPr>
        <w:rStyle w:val="PageNumber"/>
        <w:rFonts w:ascii="Times New Roman" w:hAnsi="Times New Roman"/>
        <w:sz w:val="20"/>
      </w:rPr>
      <w:fldChar w:fldCharType="end"/>
    </w:r>
  </w:p>
  <w:p w:rsidR="009716A6" w:rsidRPr="009F5C44" w:rsidRDefault="00533E9D" w:rsidP="009F5C44">
    <w:pPr>
      <w:pStyle w:val="Footer"/>
      <w:jc w:val="center"/>
      <w:rPr>
        <w:rFonts w:ascii="Times New Roman" w:hAnsi="Times New Roman"/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A6" w:rsidRPr="009F5C44" w:rsidRDefault="00533E9D" w:rsidP="009F5C44">
    <w:pPr>
      <w:pStyle w:val="Heading2"/>
      <w:rPr>
        <w:rFonts w:ascii="Times New Roman" w:hAnsi="Times New Roman"/>
        <w:i w:val="0"/>
        <w:sz w:val="20"/>
      </w:rPr>
    </w:pPr>
    <w:r w:rsidRPr="009F5C44">
      <w:rPr>
        <w:rFonts w:ascii="Times New Roman" w:hAnsi="Times New Roman"/>
        <w:i w:val="0"/>
        <w:sz w:val="20"/>
      </w:rPr>
      <w:t>Chapter 08 - Portfolio Theory and the Capital Asset Pricing Model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C67"/>
    <w:multiLevelType w:val="singleLevel"/>
    <w:tmpl w:val="45CE597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C687698"/>
    <w:multiLevelType w:val="singleLevel"/>
    <w:tmpl w:val="E5BABB76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7CE522B"/>
    <w:multiLevelType w:val="singleLevel"/>
    <w:tmpl w:val="F49A3C76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29816200"/>
    <w:multiLevelType w:val="hybridMultilevel"/>
    <w:tmpl w:val="B0D8D60C"/>
    <w:lvl w:ilvl="0" w:tplc="1B3641BC">
      <w:start w:val="3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564C1"/>
    <w:multiLevelType w:val="singleLevel"/>
    <w:tmpl w:val="3EB8960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309F7EC9"/>
    <w:multiLevelType w:val="hybridMultilevel"/>
    <w:tmpl w:val="C8BC4702"/>
    <w:lvl w:ilvl="0" w:tplc="A28666C8">
      <w:start w:val="5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987B3A">
      <w:start w:val="6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 w:tplc="3FA633CE">
      <w:start w:val="8"/>
      <w:numFmt w:val="decimal"/>
      <w:lvlText w:val="%3."/>
      <w:lvlJc w:val="left"/>
      <w:pPr>
        <w:tabs>
          <w:tab w:val="num" w:pos="2340"/>
        </w:tabs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E650A"/>
    <w:multiLevelType w:val="hybridMultilevel"/>
    <w:tmpl w:val="E33649E4"/>
    <w:lvl w:ilvl="0" w:tplc="42C85124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4447E"/>
    <w:multiLevelType w:val="hybridMultilevel"/>
    <w:tmpl w:val="A76EBE0E"/>
    <w:lvl w:ilvl="0" w:tplc="17543924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C6A53"/>
    <w:multiLevelType w:val="hybridMultilevel"/>
    <w:tmpl w:val="8BE20158"/>
    <w:lvl w:ilvl="0" w:tplc="A6DCC776">
      <w:start w:val="12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BC3E4208">
      <w:start w:val="4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E46A5"/>
    <w:multiLevelType w:val="hybridMultilevel"/>
    <w:tmpl w:val="998E7DA4"/>
    <w:lvl w:ilvl="0" w:tplc="38B25FBE">
      <w:start w:val="9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40F14"/>
    <w:multiLevelType w:val="singleLevel"/>
    <w:tmpl w:val="5D10CA0C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4D2B421D"/>
    <w:multiLevelType w:val="singleLevel"/>
    <w:tmpl w:val="371EDD8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2FA12B3"/>
    <w:multiLevelType w:val="singleLevel"/>
    <w:tmpl w:val="3F620308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6880351F"/>
    <w:multiLevelType w:val="hybridMultilevel"/>
    <w:tmpl w:val="B1A0E8A0"/>
    <w:lvl w:ilvl="0" w:tplc="07FCCF78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D550E6"/>
    <w:multiLevelType w:val="singleLevel"/>
    <w:tmpl w:val="AFF85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C45564B"/>
    <w:multiLevelType w:val="singleLevel"/>
    <w:tmpl w:val="212A91E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</w:abstractNum>
  <w:abstractNum w:abstractNumId="16">
    <w:nsid w:val="729E5BDA"/>
    <w:multiLevelType w:val="hybridMultilevel"/>
    <w:tmpl w:val="2BC82478"/>
    <w:lvl w:ilvl="0" w:tplc="638EDC28">
      <w:start w:val="3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81A40D5"/>
    <w:multiLevelType w:val="singleLevel"/>
    <w:tmpl w:val="F7926878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17"/>
  </w:num>
  <w:num w:numId="9">
    <w:abstractNumId w:val="1"/>
  </w:num>
  <w:num w:numId="10">
    <w:abstractNumId w:val="15"/>
  </w:num>
  <w:num w:numId="11">
    <w:abstractNumId w:val="5"/>
  </w:num>
  <w:num w:numId="12">
    <w:abstractNumId w:val="16"/>
  </w:num>
  <w:num w:numId="13">
    <w:abstractNumId w:val="9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00A36"/>
    <w:rsid w:val="004F6A47"/>
    <w:rsid w:val="00533E9D"/>
    <w:rsid w:val="006E08FC"/>
    <w:rsid w:val="00731393"/>
    <w:rsid w:val="007F66C2"/>
    <w:rsid w:val="00960E5E"/>
    <w:rsid w:val="00B85837"/>
    <w:rsid w:val="00BD3BC2"/>
    <w:rsid w:val="00C401FA"/>
    <w:rsid w:val="00E641FC"/>
    <w:rsid w:val="00F0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A3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00A36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00A36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F00A36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F00A3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00A36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F00A36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rsid w:val="00F00A36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F00A36"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F00A36"/>
    <w:pPr>
      <w:tabs>
        <w:tab w:val="left" w:pos="720"/>
      </w:tabs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F00A36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00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A3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F00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A36"/>
    <w:rPr>
      <w:rFonts w:ascii="Arial" w:hAnsi="Arial"/>
      <w:sz w:val="24"/>
    </w:rPr>
  </w:style>
  <w:style w:type="character" w:styleId="PageNumber">
    <w:name w:val="page number"/>
    <w:basedOn w:val="DefaultParagraphFont"/>
    <w:rsid w:val="00F00A36"/>
  </w:style>
  <w:style w:type="paragraph" w:styleId="BodyTextIndent2">
    <w:name w:val="Body Text Indent 2"/>
    <w:basedOn w:val="Normal"/>
    <w:link w:val="BodyTextIndent2Char"/>
    <w:rsid w:val="00F00A36"/>
    <w:pPr>
      <w:tabs>
        <w:tab w:val="left" w:pos="720"/>
        <w:tab w:val="left" w:pos="1440"/>
      </w:tabs>
      <w:ind w:left="1440" w:hanging="1350"/>
    </w:pPr>
  </w:style>
  <w:style w:type="character" w:customStyle="1" w:styleId="BodyTextIndent2Char">
    <w:name w:val="Body Text Indent 2 Char"/>
    <w:basedOn w:val="DefaultParagraphFont"/>
    <w:link w:val="BodyTextIndent2"/>
    <w:rsid w:val="00F00A36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rsid w:val="00F00A36"/>
    <w:pPr>
      <w:tabs>
        <w:tab w:val="left" w:pos="720"/>
        <w:tab w:val="left" w:pos="1440"/>
      </w:tabs>
      <w:ind w:left="1440" w:hanging="1440"/>
    </w:pPr>
  </w:style>
  <w:style w:type="character" w:customStyle="1" w:styleId="BodyTextIndent3Char">
    <w:name w:val="Body Text Indent 3 Char"/>
    <w:basedOn w:val="DefaultParagraphFont"/>
    <w:link w:val="BodyTextIndent3"/>
    <w:rsid w:val="00F00A36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F00A3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F00A36"/>
    <w:rPr>
      <w:rFonts w:ascii="Tahoma" w:hAnsi="Tahoma"/>
      <w:sz w:val="24"/>
      <w:shd w:val="clear" w:color="auto" w:fill="000080"/>
    </w:rPr>
  </w:style>
  <w:style w:type="paragraph" w:customStyle="1" w:styleId="eaplnm">
    <w:name w:val="eap_ln.m"/>
    <w:basedOn w:val="Normal"/>
    <w:rsid w:val="00F00A36"/>
    <w:pPr>
      <w:widowControl w:val="0"/>
      <w:tabs>
        <w:tab w:val="left" w:pos="360"/>
        <w:tab w:val="left" w:pos="600"/>
      </w:tabs>
      <w:autoSpaceDE w:val="0"/>
      <w:autoSpaceDN w:val="0"/>
      <w:adjustRightInd w:val="0"/>
      <w:spacing w:before="60" w:line="220" w:lineRule="atLeast"/>
      <w:ind w:left="360" w:hanging="360"/>
      <w:textAlignment w:val="center"/>
    </w:pPr>
    <w:rPr>
      <w:rFonts w:ascii="Palatino-Roman" w:hAnsi="Palatino-Roman"/>
      <w:color w:val="000000"/>
      <w:sz w:val="18"/>
      <w:szCs w:val="18"/>
    </w:rPr>
  </w:style>
  <w:style w:type="paragraph" w:customStyle="1" w:styleId="eapla">
    <w:name w:val="eap_la"/>
    <w:basedOn w:val="Normal"/>
    <w:rsid w:val="00F00A36"/>
    <w:pPr>
      <w:widowControl w:val="0"/>
      <w:tabs>
        <w:tab w:val="right" w:pos="515"/>
        <w:tab w:val="left" w:pos="600"/>
      </w:tabs>
      <w:autoSpaceDE w:val="0"/>
      <w:autoSpaceDN w:val="0"/>
      <w:adjustRightInd w:val="0"/>
      <w:spacing w:line="220" w:lineRule="atLeast"/>
      <w:ind w:left="600" w:hanging="600"/>
      <w:textAlignment w:val="center"/>
    </w:pPr>
    <w:rPr>
      <w:rFonts w:ascii="Palatino-Roman" w:hAnsi="Palatino-Roman"/>
      <w:color w:val="000000"/>
      <w:sz w:val="18"/>
      <w:szCs w:val="18"/>
    </w:rPr>
  </w:style>
  <w:style w:type="character" w:customStyle="1" w:styleId="bold">
    <w:name w:val="bold"/>
    <w:rsid w:val="00F00A36"/>
    <w:rPr>
      <w:b/>
      <w:bCs/>
      <w:color w:val="000000"/>
      <w:w w:val="100"/>
    </w:rPr>
  </w:style>
  <w:style w:type="character" w:customStyle="1" w:styleId="italic">
    <w:name w:val="italic"/>
    <w:rsid w:val="00F00A36"/>
    <w:rPr>
      <w:i/>
      <w:iCs/>
      <w:color w:val="000000"/>
      <w:w w:val="100"/>
    </w:rPr>
  </w:style>
  <w:style w:type="paragraph" w:styleId="BalloonText">
    <w:name w:val="Balloon Text"/>
    <w:basedOn w:val="Normal"/>
    <w:link w:val="BalloonTextChar"/>
    <w:rsid w:val="00F00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ggeis\My%20Documents\04.%20General\BMA%2010th%20ed%20project\worksheets\7-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ggeis\My%20Documents\04.%20General\BMA%2010th%20ed%20project\worksheets\7-18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scatterChart>
        <c:scatterStyle val="smoothMarker"/>
        <c:ser>
          <c:idx val="0"/>
          <c:order val="0"/>
          <c:tx>
            <c:strRef>
              <c:f>Sheet1!$N$8</c:f>
              <c:strCache>
                <c:ptCount val="1"/>
                <c:pt idx="0">
                  <c:v>Return when corr = 0</c:v>
                </c:pt>
              </c:strCache>
            </c:strRef>
          </c:tx>
          <c:xVal>
            <c:numRef>
              <c:f>Sheet1!$M$9:$M$19</c:f>
              <c:numCache>
                <c:formatCode>General</c:formatCode>
                <c:ptCount val="11"/>
                <c:pt idx="0">
                  <c:v>2.4963999999999997E-2</c:v>
                </c:pt>
                <c:pt idx="1">
                  <c:v>2.078253E-2</c:v>
                </c:pt>
                <c:pt idx="2">
                  <c:v>1.8223720000000009E-2</c:v>
                </c:pt>
                <c:pt idx="3">
                  <c:v>1.7287569999999995E-2</c:v>
                </c:pt>
                <c:pt idx="4">
                  <c:v>1.7974080000000003E-2</c:v>
                </c:pt>
                <c:pt idx="5">
                  <c:v>2.028325000000001E-2</c:v>
                </c:pt>
                <c:pt idx="6">
                  <c:v>2.4215079999999996E-2</c:v>
                </c:pt>
                <c:pt idx="7">
                  <c:v>2.9769569999999985E-2</c:v>
                </c:pt>
                <c:pt idx="8">
                  <c:v>3.6946720000000009E-2</c:v>
                </c:pt>
                <c:pt idx="9">
                  <c:v>4.5746530000000021E-2</c:v>
                </c:pt>
                <c:pt idx="10">
                  <c:v>5.6168999999999997E-2</c:v>
                </c:pt>
              </c:numCache>
            </c:numRef>
          </c:xVal>
          <c:yVal>
            <c:numRef>
              <c:f>Sheet1!$N$9:$N$19</c:f>
              <c:numCache>
                <c:formatCode>General</c:formatCode>
                <c:ptCount val="11"/>
                <c:pt idx="0">
                  <c:v>3.100000000000001E-2</c:v>
                </c:pt>
                <c:pt idx="1">
                  <c:v>3.7400000000000017E-2</c:v>
                </c:pt>
                <c:pt idx="2">
                  <c:v>4.3800000000000013E-2</c:v>
                </c:pt>
                <c:pt idx="3">
                  <c:v>5.0200000000000002E-2</c:v>
                </c:pt>
                <c:pt idx="4">
                  <c:v>5.6599999999999998E-2</c:v>
                </c:pt>
                <c:pt idx="5">
                  <c:v>6.3E-2</c:v>
                </c:pt>
                <c:pt idx="6">
                  <c:v>6.9400000000000017E-2</c:v>
                </c:pt>
                <c:pt idx="7">
                  <c:v>7.580000000000002E-2</c:v>
                </c:pt>
                <c:pt idx="8">
                  <c:v>8.2200000000000009E-2</c:v>
                </c:pt>
                <c:pt idx="9">
                  <c:v>8.8600000000000054E-2</c:v>
                </c:pt>
                <c:pt idx="10">
                  <c:v>9.5000000000000029E-2</c:v>
                </c:pt>
              </c:numCache>
            </c:numRef>
          </c:yVal>
          <c:smooth val="1"/>
        </c:ser>
        <c:axId val="182023680"/>
        <c:axId val="182025216"/>
      </c:scatterChart>
      <c:valAx>
        <c:axId val="182023680"/>
        <c:scaling>
          <c:orientation val="minMax"/>
        </c:scaling>
        <c:axPos val="b"/>
        <c:numFmt formatCode="General" sourceLinked="1"/>
        <c:tickLblPos val="nextTo"/>
        <c:crossAx val="182025216"/>
        <c:crosses val="autoZero"/>
        <c:crossBetween val="midCat"/>
      </c:valAx>
      <c:valAx>
        <c:axId val="182025216"/>
        <c:scaling>
          <c:orientation val="minMax"/>
        </c:scaling>
        <c:axPos val="l"/>
        <c:majorGridlines/>
        <c:numFmt formatCode="General" sourceLinked="1"/>
        <c:tickLblPos val="nextTo"/>
        <c:crossAx val="182023680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scatterChart>
        <c:scatterStyle val="smoothMarker"/>
        <c:ser>
          <c:idx val="0"/>
          <c:order val="0"/>
          <c:tx>
            <c:strRef>
              <c:f>Sheet1!$N$8</c:f>
              <c:strCache>
                <c:ptCount val="1"/>
                <c:pt idx="0">
                  <c:v>Return when corr = .5</c:v>
                </c:pt>
              </c:strCache>
            </c:strRef>
          </c:tx>
          <c:xVal>
            <c:numRef>
              <c:f>Sheet1!$M$9:$M$19</c:f>
              <c:numCache>
                <c:formatCode>General</c:formatCode>
                <c:ptCount val="11"/>
                <c:pt idx="0">
                  <c:v>2.4963999999999997E-2</c:v>
                </c:pt>
                <c:pt idx="1">
                  <c:v>2.4152669999999998E-2</c:v>
                </c:pt>
                <c:pt idx="2">
                  <c:v>2.421508000000001E-2</c:v>
                </c:pt>
                <c:pt idx="3">
                  <c:v>2.5151230000000004E-2</c:v>
                </c:pt>
                <c:pt idx="4">
                  <c:v>2.6961120000000012E-2</c:v>
                </c:pt>
                <c:pt idx="5">
                  <c:v>2.9644750000000004E-2</c:v>
                </c:pt>
                <c:pt idx="6">
                  <c:v>3.3202120000000002E-2</c:v>
                </c:pt>
                <c:pt idx="7">
                  <c:v>3.7633230000000018E-2</c:v>
                </c:pt>
                <c:pt idx="8">
                  <c:v>4.2938080000000024E-2</c:v>
                </c:pt>
                <c:pt idx="9">
                  <c:v>4.9116670000000036E-2</c:v>
                </c:pt>
                <c:pt idx="10">
                  <c:v>5.6168999999999997E-2</c:v>
                </c:pt>
              </c:numCache>
            </c:numRef>
          </c:xVal>
          <c:yVal>
            <c:numRef>
              <c:f>Sheet1!$N$9:$N$19</c:f>
              <c:numCache>
                <c:formatCode>General</c:formatCode>
                <c:ptCount val="11"/>
                <c:pt idx="0">
                  <c:v>3.1000000000000014E-2</c:v>
                </c:pt>
                <c:pt idx="1">
                  <c:v>3.7400000000000024E-2</c:v>
                </c:pt>
                <c:pt idx="2">
                  <c:v>4.3800000000000019E-2</c:v>
                </c:pt>
                <c:pt idx="3">
                  <c:v>5.0200000000000009E-2</c:v>
                </c:pt>
                <c:pt idx="4">
                  <c:v>5.6599999999999998E-2</c:v>
                </c:pt>
                <c:pt idx="5">
                  <c:v>6.3000000000000014E-2</c:v>
                </c:pt>
                <c:pt idx="6">
                  <c:v>6.9400000000000017E-2</c:v>
                </c:pt>
                <c:pt idx="7">
                  <c:v>7.580000000000002E-2</c:v>
                </c:pt>
                <c:pt idx="8">
                  <c:v>8.2200000000000009E-2</c:v>
                </c:pt>
                <c:pt idx="9">
                  <c:v>8.8600000000000081E-2</c:v>
                </c:pt>
                <c:pt idx="10">
                  <c:v>9.5000000000000029E-2</c:v>
                </c:pt>
              </c:numCache>
            </c:numRef>
          </c:yVal>
          <c:smooth val="1"/>
        </c:ser>
        <c:axId val="185575680"/>
        <c:axId val="185589760"/>
      </c:scatterChart>
      <c:valAx>
        <c:axId val="185575680"/>
        <c:scaling>
          <c:orientation val="minMax"/>
        </c:scaling>
        <c:axPos val="b"/>
        <c:numFmt formatCode="General" sourceLinked="1"/>
        <c:tickLblPos val="nextTo"/>
        <c:crossAx val="185589760"/>
        <c:crosses val="autoZero"/>
        <c:crossBetween val="midCat"/>
      </c:valAx>
      <c:valAx>
        <c:axId val="185589760"/>
        <c:scaling>
          <c:orientation val="minMax"/>
        </c:scaling>
        <c:axPos val="l"/>
        <c:majorGridlines/>
        <c:numFmt formatCode="General" sourceLinked="1"/>
        <c:tickLblPos val="nextTo"/>
        <c:crossAx val="185575680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8518518518518526"/>
          <c:y val="0.10824742268041242"/>
          <c:w val="0.75420875420875444"/>
          <c:h val="0.5927835051546389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 w="126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ln w="12699">
              <a:solidFill>
                <a:srgbClr val="00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marker val="1"/>
        <c:axId val="186472320"/>
        <c:axId val="186483072"/>
      </c:lineChart>
      <c:catAx>
        <c:axId val="186472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Beta</a:t>
                </a:r>
              </a:p>
            </c:rich>
          </c:tx>
          <c:layout>
            <c:manualLayout>
              <c:xMode val="edge"/>
              <c:yMode val="edge"/>
              <c:x val="0.51178451178451179"/>
              <c:y val="0.83505154639175261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86483072"/>
        <c:crosses val="autoZero"/>
        <c:auto val="1"/>
        <c:lblAlgn val="ctr"/>
        <c:lblOffset val="100"/>
        <c:tickLblSkip val="1"/>
        <c:tickMarkSkip val="1"/>
      </c:catAx>
      <c:valAx>
        <c:axId val="186483072"/>
        <c:scaling>
          <c:orientation val="minMax"/>
          <c:max val="20"/>
        </c:scaling>
        <c:axPos val="l"/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Expected Return</a:t>
                </a:r>
              </a:p>
            </c:rich>
          </c:tx>
          <c:layout>
            <c:manualLayout>
              <c:xMode val="edge"/>
              <c:yMode val="edge"/>
              <c:x val="3.7037037037037049E-2"/>
              <c:y val="0.15463917525773196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86472320"/>
        <c:crosses val="autoZero"/>
        <c:crossBetween val="midCat"/>
        <c:majorUnit val="5"/>
        <c:minorUnit val="5"/>
      </c:valAx>
      <c:spPr>
        <a:noFill/>
        <a:ln w="3175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0.1695</cdr:x>
      <cdr:y>0.2045</cdr:y>
    </cdr:from>
    <cdr:to>
      <cdr:x>0.758</cdr:x>
      <cdr:y>0.59</cdr:y>
    </cdr:to>
    <cdr:sp macro="" textlink="">
      <cdr:nvSpPr>
        <cdr:cNvPr id="1025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479503" y="377885"/>
          <a:ext cx="1664822" cy="71234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1922</Words>
  <Characters>10962</Characters>
  <Application>Microsoft Office Word</Application>
  <DocSecurity>0</DocSecurity>
  <Lines>91</Lines>
  <Paragraphs>25</Paragraphs>
  <ScaleCrop>false</ScaleCrop>
  <Company>Baylor University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</dc:creator>
  <cp:keywords/>
  <dc:description/>
  <cp:lastModifiedBy>BU</cp:lastModifiedBy>
  <cp:revision>1</cp:revision>
  <dcterms:created xsi:type="dcterms:W3CDTF">2011-01-08T17:13:00Z</dcterms:created>
  <dcterms:modified xsi:type="dcterms:W3CDTF">2011-01-08T17:13:00Z</dcterms:modified>
</cp:coreProperties>
</file>