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D4" w:rsidRDefault="00962FD4" w:rsidP="00962FD4">
      <w:pPr>
        <w:pStyle w:val="Heading2"/>
        <w:jc w:val="center"/>
        <w:rPr>
          <w:b/>
          <w:i w:val="0"/>
        </w:rPr>
      </w:pPr>
      <w:r>
        <w:rPr>
          <w:b/>
          <w:i w:val="0"/>
        </w:rPr>
        <w:t>CHAPTER 11</w:t>
      </w:r>
    </w:p>
    <w:p w:rsidR="00962FD4" w:rsidRDefault="00962FD4" w:rsidP="00962FD4">
      <w:pPr>
        <w:pStyle w:val="Heading2"/>
        <w:jc w:val="center"/>
        <w:rPr>
          <w:b/>
          <w:i w:val="0"/>
        </w:rPr>
      </w:pPr>
      <w:r>
        <w:rPr>
          <w:b/>
          <w:i w:val="0"/>
        </w:rPr>
        <w:t>Efficient Markets and Behavioral Finance</w:t>
      </w:r>
    </w:p>
    <w:p w:rsidR="00962FD4" w:rsidRDefault="00962FD4" w:rsidP="00962FD4">
      <w:pPr>
        <w:pStyle w:val="Heading2"/>
        <w:rPr>
          <w:b/>
        </w:rPr>
      </w:pPr>
    </w:p>
    <w:p w:rsidR="00962FD4" w:rsidRDefault="00962FD4" w:rsidP="00962FD4">
      <w:pPr>
        <w:spacing w:line="220" w:lineRule="exact"/>
      </w:pPr>
    </w:p>
    <w:p w:rsidR="00962FD4" w:rsidRDefault="00962FD4" w:rsidP="00962FD4">
      <w:pPr>
        <w:pStyle w:val="Heading2"/>
        <w:rPr>
          <w:b/>
        </w:rPr>
      </w:pPr>
      <w:r>
        <w:rPr>
          <w:b/>
        </w:rPr>
        <w:t>Answers to Problem Sets</w:t>
      </w:r>
    </w:p>
    <w:p w:rsidR="00962FD4" w:rsidRDefault="00962FD4" w:rsidP="00962FD4"/>
    <w:p w:rsidR="00962FD4" w:rsidRPr="004816F7" w:rsidRDefault="00962FD4" w:rsidP="00962FD4">
      <w:pPr>
        <w:tabs>
          <w:tab w:val="left" w:pos="720"/>
        </w:tabs>
      </w:pPr>
    </w:p>
    <w:p w:rsidR="00962FD4" w:rsidRPr="004816F7" w:rsidRDefault="00962FD4" w:rsidP="00962FD4">
      <w:pPr>
        <w:pStyle w:val="eaplnf"/>
        <w:tabs>
          <w:tab w:val="left" w:pos="720"/>
        </w:tabs>
        <w:spacing w:before="0"/>
        <w:ind w:left="432"/>
        <w:rPr>
          <w:rFonts w:ascii="Arial" w:hAnsi="Arial" w:cs="Arial"/>
          <w:color w:val="auto"/>
          <w:sz w:val="24"/>
          <w:szCs w:val="24"/>
        </w:rPr>
      </w:pPr>
      <w:r w:rsidRPr="004816F7">
        <w:rPr>
          <w:rStyle w:val="bold"/>
          <w:rFonts w:ascii="Arial" w:hAnsi="Arial" w:cs="Arial"/>
          <w:b w:val="0"/>
          <w:bCs w:val="0"/>
          <w:color w:val="auto"/>
          <w:sz w:val="24"/>
          <w:szCs w:val="24"/>
        </w:rPr>
        <w:t>1.</w:t>
      </w:r>
      <w:r w:rsidRPr="004816F7">
        <w:rPr>
          <w:rFonts w:ascii="Arial" w:hAnsi="Arial" w:cs="Arial"/>
          <w:color w:val="auto"/>
          <w:sz w:val="24"/>
          <w:szCs w:val="24"/>
        </w:rPr>
        <w:tab/>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sidRPr="004816F7">
        <w:rPr>
          <w:rStyle w:val="italic"/>
          <w:rFonts w:ascii="Arial" w:hAnsi="Arial" w:cs="Arial"/>
          <w:i w:val="0"/>
          <w:iCs w:val="0"/>
          <w:color w:val="auto"/>
          <w:sz w:val="24"/>
          <w:szCs w:val="24"/>
        </w:rPr>
        <w:t>c</w:t>
      </w:r>
      <w:proofErr w:type="gramEnd"/>
    </w:p>
    <w:p w:rsidR="00962FD4" w:rsidRPr="004816F7" w:rsidRDefault="00962FD4" w:rsidP="00962FD4">
      <w:pPr>
        <w:pStyle w:val="eaplnm"/>
        <w:spacing w:before="0"/>
        <w:ind w:left="432"/>
        <w:rPr>
          <w:rFonts w:ascii="Arial" w:hAnsi="Arial" w:cs="Arial"/>
          <w:color w:val="auto"/>
          <w:sz w:val="24"/>
          <w:szCs w:val="24"/>
        </w:rPr>
      </w:pPr>
      <w:r w:rsidRPr="004816F7">
        <w:rPr>
          <w:rFonts w:cs="Arial"/>
          <w:color w:val="auto"/>
          <w:sz w:val="24"/>
          <w:szCs w:val="24"/>
        </w:rPr>
        <w:t> </w:t>
      </w:r>
    </w:p>
    <w:p w:rsidR="00962FD4" w:rsidRPr="004816F7" w:rsidRDefault="00962FD4" w:rsidP="00962FD4">
      <w:pPr>
        <w:pStyle w:val="eaplnm"/>
        <w:spacing w:before="0"/>
        <w:ind w:left="432"/>
        <w:rPr>
          <w:rFonts w:ascii="Arial" w:hAnsi="Arial" w:cs="Arial"/>
          <w:color w:val="auto"/>
          <w:sz w:val="24"/>
          <w:szCs w:val="24"/>
        </w:rPr>
      </w:pPr>
      <w:r w:rsidRPr="004816F7">
        <w:rPr>
          <w:rStyle w:val="bold"/>
          <w:rFonts w:ascii="Arial" w:hAnsi="Arial" w:cs="Arial"/>
          <w:b w:val="0"/>
          <w:bCs w:val="0"/>
          <w:color w:val="auto"/>
          <w:sz w:val="24"/>
          <w:szCs w:val="24"/>
        </w:rPr>
        <w:t>2.</w:t>
      </w:r>
      <w:r w:rsidRPr="004816F7">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816F7">
        <w:rPr>
          <w:rFonts w:ascii="Arial" w:hAnsi="Arial" w:cs="Arial"/>
          <w:color w:val="auto"/>
          <w:sz w:val="24"/>
          <w:szCs w:val="24"/>
        </w:rPr>
        <w:t xml:space="preserve">Weak, </w:t>
      </w:r>
      <w:proofErr w:type="spellStart"/>
      <w:r w:rsidRPr="004816F7">
        <w:rPr>
          <w:rFonts w:ascii="Arial" w:hAnsi="Arial" w:cs="Arial"/>
          <w:color w:val="auto"/>
          <w:sz w:val="24"/>
          <w:szCs w:val="24"/>
        </w:rPr>
        <w:t>semistrong</w:t>
      </w:r>
      <w:proofErr w:type="spellEnd"/>
      <w:r w:rsidRPr="004816F7">
        <w:rPr>
          <w:rFonts w:ascii="Arial" w:hAnsi="Arial" w:cs="Arial"/>
          <w:color w:val="auto"/>
          <w:sz w:val="24"/>
          <w:szCs w:val="24"/>
        </w:rPr>
        <w:t>, strong, strong, weak.</w:t>
      </w:r>
    </w:p>
    <w:p w:rsidR="00962FD4" w:rsidRPr="004816F7" w:rsidRDefault="00962FD4" w:rsidP="00962FD4">
      <w:pPr>
        <w:pStyle w:val="eaplnm"/>
        <w:spacing w:before="0"/>
        <w:ind w:left="432"/>
        <w:rPr>
          <w:rFonts w:ascii="Arial" w:hAnsi="Arial" w:cs="Arial"/>
          <w:color w:val="auto"/>
          <w:sz w:val="24"/>
          <w:szCs w:val="24"/>
        </w:rPr>
      </w:pPr>
      <w:r w:rsidRPr="004816F7">
        <w:rPr>
          <w:rFonts w:cs="Arial"/>
          <w:color w:val="auto"/>
          <w:sz w:val="24"/>
          <w:szCs w:val="24"/>
        </w:rPr>
        <w:t> </w:t>
      </w:r>
    </w:p>
    <w:p w:rsidR="00962FD4" w:rsidRDefault="00962FD4" w:rsidP="00962FD4">
      <w:pPr>
        <w:pStyle w:val="eaplnm"/>
        <w:spacing w:before="0"/>
        <w:ind w:left="432"/>
        <w:rPr>
          <w:rFonts w:ascii="Arial" w:hAnsi="Arial" w:cs="Arial"/>
          <w:color w:val="auto"/>
          <w:sz w:val="24"/>
          <w:szCs w:val="24"/>
        </w:rPr>
      </w:pPr>
      <w:r w:rsidRPr="004816F7">
        <w:rPr>
          <w:rStyle w:val="bold"/>
          <w:rFonts w:ascii="Arial" w:hAnsi="Arial" w:cs="Arial"/>
          <w:b w:val="0"/>
          <w:bCs w:val="0"/>
          <w:color w:val="auto"/>
          <w:sz w:val="24"/>
          <w:szCs w:val="24"/>
        </w:rPr>
        <w:t>3.</w:t>
      </w:r>
      <w:r w:rsidRPr="004816F7">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sidRPr="004816F7">
        <w:rPr>
          <w:rStyle w:val="bold"/>
          <w:rFonts w:ascii="Arial" w:hAnsi="Arial" w:cs="Arial"/>
          <w:b w:val="0"/>
          <w:bCs w:val="0"/>
          <w:color w:val="auto"/>
          <w:sz w:val="24"/>
          <w:szCs w:val="24"/>
        </w:rPr>
        <w:t>a</w:t>
      </w:r>
      <w:proofErr w:type="gramEnd"/>
      <w:r>
        <w:rPr>
          <w:rStyle w:val="bold"/>
          <w:rFonts w:ascii="Arial" w:hAnsi="Arial" w:cs="Arial"/>
          <w:b w:val="0"/>
          <w:bCs w:val="0"/>
          <w:color w:val="auto"/>
          <w:sz w:val="24"/>
          <w:szCs w:val="24"/>
        </w:rPr>
        <w:t>.</w:t>
      </w:r>
      <w:r w:rsidRPr="004816F7">
        <w:rPr>
          <w:rFonts w:ascii="Arial" w:hAnsi="Arial" w:cs="Arial"/>
          <w:color w:val="auto"/>
          <w:sz w:val="24"/>
          <w:szCs w:val="24"/>
        </w:rPr>
        <w:t xml:space="preserve"> </w:t>
      </w:r>
      <w:r>
        <w:rPr>
          <w:rFonts w:ascii="Arial" w:hAnsi="Arial" w:cs="Arial"/>
          <w:color w:val="auto"/>
          <w:sz w:val="24"/>
          <w:szCs w:val="24"/>
        </w:rPr>
        <w:tab/>
      </w:r>
      <w:r w:rsidRPr="004816F7">
        <w:rPr>
          <w:rFonts w:ascii="Arial" w:hAnsi="Arial" w:cs="Arial"/>
          <w:color w:val="auto"/>
          <w:sz w:val="24"/>
          <w:szCs w:val="24"/>
        </w:rPr>
        <w:t>False</w:t>
      </w:r>
    </w:p>
    <w:p w:rsidR="00962FD4" w:rsidRDefault="00962FD4" w:rsidP="00962FD4">
      <w:pPr>
        <w:pStyle w:val="eaplnm"/>
        <w:spacing w:before="0"/>
        <w:ind w:left="432"/>
        <w:rPr>
          <w:rFonts w:ascii="Arial" w:hAnsi="Arial" w:cs="Arial"/>
          <w:color w:val="auto"/>
          <w:sz w:val="24"/>
          <w:szCs w:val="24"/>
        </w:rPr>
      </w:pPr>
    </w:p>
    <w:p w:rsidR="00962FD4" w:rsidRDefault="00962FD4" w:rsidP="00962FD4">
      <w:pPr>
        <w:pStyle w:val="eaplnm"/>
        <w:spacing w:before="0"/>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816F7">
        <w:rPr>
          <w:rStyle w:val="bold"/>
          <w:rFonts w:ascii="Arial" w:hAnsi="Arial" w:cs="Arial"/>
          <w:b w:val="0"/>
          <w:bCs w:val="0"/>
          <w:color w:val="auto"/>
          <w:sz w:val="24"/>
          <w:szCs w:val="24"/>
        </w:rPr>
        <w:t>b</w:t>
      </w:r>
      <w:r>
        <w:rPr>
          <w:rFonts w:ascii="Arial" w:hAnsi="Arial" w:cs="Arial"/>
          <w:color w:val="auto"/>
          <w:sz w:val="24"/>
          <w:szCs w:val="24"/>
        </w:rPr>
        <w:t xml:space="preserve">. </w:t>
      </w:r>
      <w:r>
        <w:rPr>
          <w:rFonts w:ascii="Arial" w:hAnsi="Arial" w:cs="Arial"/>
          <w:color w:val="auto"/>
          <w:sz w:val="24"/>
          <w:szCs w:val="24"/>
        </w:rPr>
        <w:tab/>
        <w:t>F</w:t>
      </w:r>
      <w:r w:rsidRPr="004816F7">
        <w:rPr>
          <w:rFonts w:ascii="Arial" w:hAnsi="Arial" w:cs="Arial"/>
          <w:color w:val="auto"/>
          <w:sz w:val="24"/>
          <w:szCs w:val="24"/>
        </w:rPr>
        <w:t>alse</w:t>
      </w:r>
    </w:p>
    <w:p w:rsidR="00962FD4" w:rsidRDefault="00962FD4" w:rsidP="00962FD4">
      <w:pPr>
        <w:pStyle w:val="eaplnm"/>
        <w:spacing w:before="0"/>
        <w:ind w:left="432"/>
        <w:rPr>
          <w:rFonts w:ascii="Arial" w:hAnsi="Arial" w:cs="Arial"/>
          <w:color w:val="auto"/>
          <w:sz w:val="24"/>
          <w:szCs w:val="24"/>
        </w:rPr>
      </w:pPr>
    </w:p>
    <w:p w:rsidR="00962FD4" w:rsidRDefault="00962FD4" w:rsidP="00962FD4">
      <w:pPr>
        <w:pStyle w:val="eaplnm"/>
        <w:spacing w:before="0"/>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816F7">
        <w:rPr>
          <w:rStyle w:val="bold"/>
          <w:rFonts w:ascii="Arial" w:hAnsi="Arial" w:cs="Arial"/>
          <w:b w:val="0"/>
          <w:bCs w:val="0"/>
          <w:color w:val="auto"/>
          <w:sz w:val="24"/>
          <w:szCs w:val="24"/>
        </w:rPr>
        <w:t>c</w:t>
      </w:r>
      <w:r>
        <w:rPr>
          <w:rStyle w:val="bold"/>
          <w:rFonts w:ascii="Arial" w:hAnsi="Arial" w:cs="Arial"/>
          <w:b w:val="0"/>
          <w:bCs w:val="0"/>
          <w:color w:val="auto"/>
          <w:sz w:val="24"/>
          <w:szCs w:val="24"/>
        </w:rPr>
        <w:t>.</w:t>
      </w:r>
      <w:r>
        <w:rPr>
          <w:rFonts w:ascii="Arial" w:hAnsi="Arial" w:cs="Arial"/>
          <w:color w:val="auto"/>
          <w:sz w:val="24"/>
          <w:szCs w:val="24"/>
        </w:rPr>
        <w:t xml:space="preserve"> </w:t>
      </w:r>
      <w:r>
        <w:rPr>
          <w:rFonts w:ascii="Arial" w:hAnsi="Arial" w:cs="Arial"/>
          <w:color w:val="auto"/>
          <w:sz w:val="24"/>
          <w:szCs w:val="24"/>
        </w:rPr>
        <w:tab/>
        <w:t>T</w:t>
      </w:r>
      <w:r w:rsidRPr="004816F7">
        <w:rPr>
          <w:rFonts w:ascii="Arial" w:hAnsi="Arial" w:cs="Arial"/>
          <w:color w:val="auto"/>
          <w:sz w:val="24"/>
          <w:szCs w:val="24"/>
        </w:rPr>
        <w:t>rue</w:t>
      </w:r>
    </w:p>
    <w:p w:rsidR="00962FD4" w:rsidRDefault="00962FD4" w:rsidP="00962FD4">
      <w:pPr>
        <w:pStyle w:val="eaplnm"/>
        <w:spacing w:before="0"/>
        <w:ind w:left="432"/>
        <w:rPr>
          <w:rFonts w:ascii="Arial" w:hAnsi="Arial" w:cs="Arial"/>
          <w:color w:val="auto"/>
          <w:sz w:val="24"/>
          <w:szCs w:val="24"/>
        </w:rPr>
      </w:pPr>
    </w:p>
    <w:p w:rsidR="00962FD4" w:rsidRDefault="00962FD4" w:rsidP="00962FD4">
      <w:pPr>
        <w:pStyle w:val="eaplnm"/>
        <w:spacing w:before="0"/>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816F7">
        <w:rPr>
          <w:rStyle w:val="bold"/>
          <w:rFonts w:ascii="Arial" w:hAnsi="Arial" w:cs="Arial"/>
          <w:b w:val="0"/>
          <w:bCs w:val="0"/>
          <w:color w:val="auto"/>
          <w:sz w:val="24"/>
          <w:szCs w:val="24"/>
        </w:rPr>
        <w:t>d</w:t>
      </w:r>
      <w:r>
        <w:rPr>
          <w:rStyle w:val="bold"/>
          <w:rFonts w:ascii="Arial" w:hAnsi="Arial" w:cs="Arial"/>
          <w:b w:val="0"/>
          <w:bCs w:val="0"/>
          <w:color w:val="auto"/>
          <w:sz w:val="24"/>
          <w:szCs w:val="24"/>
        </w:rPr>
        <w:t>.</w:t>
      </w:r>
      <w:r w:rsidRPr="004816F7">
        <w:rPr>
          <w:rFonts w:ascii="Arial" w:hAnsi="Arial" w:cs="Arial"/>
          <w:color w:val="auto"/>
          <w:sz w:val="24"/>
          <w:szCs w:val="24"/>
        </w:rPr>
        <w:t xml:space="preserve"> </w:t>
      </w:r>
      <w:r>
        <w:rPr>
          <w:rFonts w:ascii="Arial" w:hAnsi="Arial" w:cs="Arial"/>
          <w:color w:val="auto"/>
          <w:sz w:val="24"/>
          <w:szCs w:val="24"/>
        </w:rPr>
        <w:tab/>
        <w:t>F</w:t>
      </w:r>
      <w:r w:rsidRPr="004816F7">
        <w:rPr>
          <w:rFonts w:ascii="Arial" w:hAnsi="Arial" w:cs="Arial"/>
          <w:color w:val="auto"/>
          <w:sz w:val="24"/>
          <w:szCs w:val="24"/>
        </w:rPr>
        <w:t>alse</w:t>
      </w:r>
    </w:p>
    <w:p w:rsidR="00962FD4" w:rsidRDefault="00962FD4" w:rsidP="00962FD4">
      <w:pPr>
        <w:pStyle w:val="eaplnm"/>
        <w:spacing w:before="0"/>
        <w:ind w:left="432"/>
        <w:rPr>
          <w:rFonts w:ascii="Arial" w:hAnsi="Arial" w:cs="Arial"/>
          <w:color w:val="auto"/>
          <w:sz w:val="24"/>
          <w:szCs w:val="24"/>
        </w:rPr>
      </w:pPr>
    </w:p>
    <w:p w:rsidR="00962FD4" w:rsidRDefault="00962FD4" w:rsidP="00962FD4">
      <w:pPr>
        <w:pStyle w:val="eaplnm"/>
        <w:spacing w:before="0"/>
        <w:ind w:left="72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sidRPr="004816F7">
        <w:rPr>
          <w:rStyle w:val="bold"/>
          <w:rFonts w:ascii="Arial" w:hAnsi="Arial" w:cs="Arial"/>
          <w:b w:val="0"/>
          <w:bCs w:val="0"/>
          <w:color w:val="auto"/>
          <w:sz w:val="24"/>
          <w:szCs w:val="24"/>
        </w:rPr>
        <w:t>e</w:t>
      </w:r>
      <w:r>
        <w:rPr>
          <w:rFonts w:ascii="Arial" w:hAnsi="Arial" w:cs="Arial"/>
          <w:color w:val="auto"/>
          <w:sz w:val="24"/>
          <w:szCs w:val="24"/>
        </w:rPr>
        <w:t xml:space="preserve">.  </w:t>
      </w:r>
      <w:r>
        <w:rPr>
          <w:rFonts w:ascii="Arial" w:hAnsi="Arial" w:cs="Arial"/>
          <w:color w:val="auto"/>
          <w:sz w:val="24"/>
          <w:szCs w:val="24"/>
        </w:rPr>
        <w:tab/>
        <w:t>False</w:t>
      </w:r>
    </w:p>
    <w:p w:rsidR="00962FD4" w:rsidRPr="004816F7" w:rsidRDefault="00962FD4" w:rsidP="00962FD4">
      <w:pPr>
        <w:pStyle w:val="eaplnm"/>
        <w:spacing w:before="0"/>
        <w:ind w:left="720"/>
        <w:rPr>
          <w:rFonts w:ascii="Arial" w:hAnsi="Arial" w:cs="Arial"/>
          <w:color w:val="auto"/>
          <w:sz w:val="24"/>
          <w:szCs w:val="24"/>
        </w:rPr>
      </w:pPr>
      <w:r w:rsidRPr="004816F7">
        <w:rPr>
          <w:rFonts w:ascii="Arial" w:hAnsi="Arial" w:cs="Arial"/>
          <w:color w:val="auto"/>
          <w:sz w:val="24"/>
          <w:szCs w:val="24"/>
        </w:rPr>
        <w:br/>
      </w:r>
      <w:r w:rsidRPr="004816F7">
        <w:rPr>
          <w:rStyle w:val="bold"/>
          <w:rFonts w:ascii="Arial" w:hAnsi="Arial" w:cs="Arial"/>
          <w:b w:val="0"/>
          <w:bCs w:val="0"/>
          <w:color w:val="auto"/>
          <w:sz w:val="24"/>
          <w:szCs w:val="24"/>
        </w:rPr>
        <w:t>f</w:t>
      </w:r>
      <w:r>
        <w:rPr>
          <w:rFonts w:ascii="Arial" w:hAnsi="Arial" w:cs="Arial"/>
          <w:color w:val="auto"/>
          <w:sz w:val="24"/>
          <w:szCs w:val="24"/>
        </w:rPr>
        <w:t xml:space="preserve">. </w:t>
      </w:r>
      <w:r>
        <w:rPr>
          <w:rFonts w:ascii="Arial" w:hAnsi="Arial" w:cs="Arial"/>
          <w:color w:val="auto"/>
          <w:sz w:val="24"/>
          <w:szCs w:val="24"/>
        </w:rPr>
        <w:tab/>
        <w:t>T</w:t>
      </w:r>
      <w:r w:rsidRPr="004816F7">
        <w:rPr>
          <w:rFonts w:ascii="Arial" w:hAnsi="Arial" w:cs="Arial"/>
          <w:color w:val="auto"/>
          <w:sz w:val="24"/>
          <w:szCs w:val="24"/>
        </w:rPr>
        <w:t>rue</w:t>
      </w:r>
    </w:p>
    <w:p w:rsidR="00962FD4" w:rsidRDefault="00962FD4" w:rsidP="00962FD4">
      <w:pPr>
        <w:pStyle w:val="eaplnm"/>
        <w:spacing w:before="0"/>
        <w:ind w:left="432"/>
        <w:rPr>
          <w:rFonts w:cs="Arial"/>
          <w:color w:val="auto"/>
          <w:sz w:val="24"/>
          <w:szCs w:val="24"/>
        </w:rPr>
      </w:pPr>
      <w:r w:rsidRPr="004816F7">
        <w:rPr>
          <w:rFonts w:cs="Arial"/>
          <w:color w:val="auto"/>
          <w:sz w:val="24"/>
          <w:szCs w:val="24"/>
        </w:rPr>
        <w:t> </w:t>
      </w:r>
    </w:p>
    <w:p w:rsidR="00962FD4" w:rsidRPr="004816F7" w:rsidRDefault="00962FD4" w:rsidP="00962FD4">
      <w:pPr>
        <w:pStyle w:val="eaplnm"/>
        <w:spacing w:before="0"/>
        <w:ind w:left="432"/>
        <w:rPr>
          <w:rFonts w:ascii="Arial" w:hAnsi="Arial" w:cs="Arial"/>
          <w:color w:val="auto"/>
          <w:sz w:val="24"/>
          <w:szCs w:val="24"/>
        </w:rPr>
      </w:pPr>
    </w:p>
    <w:p w:rsidR="00D95067" w:rsidRDefault="00962FD4" w:rsidP="00962FD4">
      <w:pPr>
        <w:pStyle w:val="eaplnm"/>
        <w:spacing w:before="0"/>
        <w:ind w:left="432"/>
        <w:rPr>
          <w:rFonts w:ascii="Arial" w:hAnsi="Arial" w:cs="Arial"/>
          <w:color w:val="auto"/>
          <w:sz w:val="24"/>
          <w:szCs w:val="24"/>
        </w:rPr>
      </w:pPr>
      <w:r w:rsidRPr="004816F7">
        <w:rPr>
          <w:rStyle w:val="bold"/>
          <w:rFonts w:ascii="Arial" w:hAnsi="Arial" w:cs="Arial"/>
          <w:b w:val="0"/>
          <w:bCs w:val="0"/>
          <w:color w:val="auto"/>
          <w:sz w:val="24"/>
          <w:szCs w:val="24"/>
        </w:rPr>
        <w:t>4.</w:t>
      </w:r>
      <w:r w:rsidRPr="004816F7">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sidRPr="004816F7">
        <w:rPr>
          <w:rStyle w:val="bold"/>
          <w:rFonts w:ascii="Arial" w:hAnsi="Arial" w:cs="Arial"/>
          <w:b w:val="0"/>
          <w:bCs w:val="0"/>
          <w:color w:val="auto"/>
          <w:sz w:val="24"/>
          <w:szCs w:val="24"/>
        </w:rPr>
        <w:t>a</w:t>
      </w:r>
      <w:proofErr w:type="gramEnd"/>
      <w:r>
        <w:rPr>
          <w:rStyle w:val="bold"/>
          <w:rFonts w:ascii="Arial" w:hAnsi="Arial" w:cs="Arial"/>
          <w:b w:val="0"/>
          <w:bCs w:val="0"/>
          <w:color w:val="auto"/>
          <w:sz w:val="24"/>
          <w:szCs w:val="24"/>
        </w:rPr>
        <w:t>.</w:t>
      </w:r>
      <w:r w:rsidRPr="004816F7">
        <w:rPr>
          <w:rFonts w:ascii="Arial" w:hAnsi="Arial" w:cs="Arial"/>
          <w:color w:val="auto"/>
          <w:sz w:val="24"/>
          <w:szCs w:val="24"/>
        </w:rPr>
        <w:t xml:space="preserve"> </w:t>
      </w:r>
      <w:r>
        <w:rPr>
          <w:rFonts w:ascii="Arial" w:hAnsi="Arial" w:cs="Arial"/>
          <w:color w:val="auto"/>
          <w:sz w:val="24"/>
          <w:szCs w:val="24"/>
        </w:rPr>
        <w:tab/>
      </w:r>
      <w:proofErr w:type="gramStart"/>
      <w:r w:rsidRPr="004816F7">
        <w:rPr>
          <w:rFonts w:ascii="Arial" w:hAnsi="Arial" w:cs="Arial"/>
          <w:color w:val="auto"/>
          <w:sz w:val="24"/>
          <w:szCs w:val="24"/>
        </w:rPr>
        <w:t>False</w:t>
      </w:r>
      <w:r w:rsidR="00D95067">
        <w:rPr>
          <w:rFonts w:ascii="Arial" w:hAnsi="Arial" w:cs="Arial"/>
          <w:color w:val="auto"/>
          <w:sz w:val="24"/>
          <w:szCs w:val="24"/>
        </w:rPr>
        <w:t xml:space="preserve">  -</w:t>
      </w:r>
      <w:proofErr w:type="gramEnd"/>
      <w:r w:rsidR="00D95067">
        <w:rPr>
          <w:rFonts w:ascii="Arial" w:hAnsi="Arial" w:cs="Arial"/>
          <w:color w:val="auto"/>
          <w:sz w:val="24"/>
          <w:szCs w:val="24"/>
        </w:rPr>
        <w:t xml:space="preserve"> In what kind of markets do financing decisions occur?  Investment </w:t>
      </w:r>
    </w:p>
    <w:p w:rsidR="00962FD4" w:rsidRDefault="00D95067" w:rsidP="00962FD4">
      <w:pPr>
        <w:pStyle w:val="eaplnm"/>
        <w:spacing w:before="0"/>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Decisions occur where?  </w:t>
      </w:r>
    </w:p>
    <w:p w:rsidR="00962FD4" w:rsidRDefault="00962FD4" w:rsidP="00962FD4">
      <w:pPr>
        <w:pStyle w:val="eaplnm"/>
        <w:spacing w:before="0"/>
        <w:ind w:left="432"/>
        <w:rPr>
          <w:rFonts w:ascii="Arial" w:hAnsi="Arial" w:cs="Arial"/>
          <w:color w:val="auto"/>
          <w:sz w:val="24"/>
          <w:szCs w:val="24"/>
        </w:rPr>
      </w:pPr>
    </w:p>
    <w:p w:rsidR="00962FD4" w:rsidRDefault="00962FD4" w:rsidP="00962FD4">
      <w:pPr>
        <w:pStyle w:val="eaplnm"/>
        <w:spacing w:before="0"/>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816F7">
        <w:rPr>
          <w:rStyle w:val="bold"/>
          <w:rFonts w:ascii="Arial" w:hAnsi="Arial" w:cs="Arial"/>
          <w:b w:val="0"/>
          <w:bCs w:val="0"/>
          <w:color w:val="auto"/>
          <w:sz w:val="24"/>
          <w:szCs w:val="24"/>
        </w:rPr>
        <w:t>b</w:t>
      </w:r>
      <w:r>
        <w:rPr>
          <w:rFonts w:ascii="Arial" w:hAnsi="Arial" w:cs="Arial"/>
          <w:color w:val="auto"/>
          <w:sz w:val="24"/>
          <w:szCs w:val="24"/>
        </w:rPr>
        <w:t>.</w:t>
      </w:r>
      <w:r>
        <w:rPr>
          <w:rFonts w:ascii="Arial" w:hAnsi="Arial" w:cs="Arial"/>
          <w:color w:val="auto"/>
          <w:sz w:val="24"/>
          <w:szCs w:val="24"/>
        </w:rPr>
        <w:tab/>
        <w:t>F</w:t>
      </w:r>
      <w:r w:rsidRPr="004816F7">
        <w:rPr>
          <w:rFonts w:ascii="Arial" w:hAnsi="Arial" w:cs="Arial"/>
          <w:color w:val="auto"/>
          <w:sz w:val="24"/>
          <w:szCs w:val="24"/>
        </w:rPr>
        <w:t>alse</w:t>
      </w:r>
      <w:r w:rsidR="00D95067">
        <w:rPr>
          <w:rFonts w:ascii="Arial" w:hAnsi="Arial" w:cs="Arial"/>
          <w:color w:val="auto"/>
          <w:sz w:val="24"/>
          <w:szCs w:val="24"/>
        </w:rPr>
        <w:t xml:space="preserve"> - </w:t>
      </w:r>
    </w:p>
    <w:p w:rsidR="00962FD4" w:rsidRDefault="00962FD4" w:rsidP="00962FD4">
      <w:pPr>
        <w:pStyle w:val="eaplnm"/>
        <w:spacing w:before="0"/>
        <w:ind w:left="432"/>
        <w:rPr>
          <w:rFonts w:ascii="Arial" w:hAnsi="Arial" w:cs="Arial"/>
          <w:color w:val="auto"/>
          <w:sz w:val="24"/>
          <w:szCs w:val="24"/>
        </w:rPr>
      </w:pPr>
    </w:p>
    <w:p w:rsidR="00962FD4" w:rsidRDefault="00962FD4" w:rsidP="00962FD4">
      <w:pPr>
        <w:pStyle w:val="eaplnm"/>
        <w:spacing w:before="0"/>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816F7">
        <w:rPr>
          <w:rStyle w:val="bold"/>
          <w:rFonts w:ascii="Arial" w:hAnsi="Arial" w:cs="Arial"/>
          <w:b w:val="0"/>
          <w:bCs w:val="0"/>
          <w:color w:val="auto"/>
          <w:sz w:val="24"/>
          <w:szCs w:val="24"/>
        </w:rPr>
        <w:t>c</w:t>
      </w:r>
      <w:r>
        <w:rPr>
          <w:rFonts w:ascii="Arial" w:hAnsi="Arial" w:cs="Arial"/>
          <w:color w:val="auto"/>
          <w:sz w:val="24"/>
          <w:szCs w:val="24"/>
        </w:rPr>
        <w:t xml:space="preserve">. </w:t>
      </w:r>
      <w:r>
        <w:rPr>
          <w:rFonts w:ascii="Arial" w:hAnsi="Arial" w:cs="Arial"/>
          <w:color w:val="auto"/>
          <w:sz w:val="24"/>
          <w:szCs w:val="24"/>
        </w:rPr>
        <w:tab/>
        <w:t>T</w:t>
      </w:r>
      <w:r w:rsidRPr="004816F7">
        <w:rPr>
          <w:rFonts w:ascii="Arial" w:hAnsi="Arial" w:cs="Arial"/>
          <w:color w:val="auto"/>
          <w:sz w:val="24"/>
          <w:szCs w:val="24"/>
        </w:rPr>
        <w:t>rue</w:t>
      </w:r>
      <w:r w:rsidR="00D95067">
        <w:rPr>
          <w:rFonts w:ascii="Arial" w:hAnsi="Arial" w:cs="Arial"/>
          <w:color w:val="auto"/>
          <w:sz w:val="24"/>
          <w:szCs w:val="24"/>
        </w:rPr>
        <w:t xml:space="preserve"> – what information do stocks not reflect?</w:t>
      </w:r>
    </w:p>
    <w:p w:rsidR="00962FD4" w:rsidRDefault="00962FD4" w:rsidP="00962FD4">
      <w:pPr>
        <w:pStyle w:val="eaplnm"/>
        <w:spacing w:before="0"/>
        <w:ind w:left="432"/>
        <w:rPr>
          <w:rFonts w:ascii="Arial" w:hAnsi="Arial" w:cs="Arial"/>
          <w:color w:val="auto"/>
          <w:sz w:val="24"/>
          <w:szCs w:val="24"/>
        </w:rPr>
      </w:pPr>
    </w:p>
    <w:p w:rsidR="00962FD4" w:rsidRPr="004816F7" w:rsidRDefault="00962FD4" w:rsidP="00962FD4">
      <w:pPr>
        <w:pStyle w:val="eaplnm"/>
        <w:tabs>
          <w:tab w:val="left" w:pos="720"/>
        </w:tabs>
        <w:spacing w:before="0"/>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816F7">
        <w:rPr>
          <w:rStyle w:val="bold"/>
          <w:rFonts w:ascii="Arial" w:hAnsi="Arial" w:cs="Arial"/>
          <w:b w:val="0"/>
          <w:bCs w:val="0"/>
          <w:color w:val="auto"/>
          <w:sz w:val="24"/>
          <w:szCs w:val="24"/>
        </w:rPr>
        <w:t>d</w:t>
      </w:r>
      <w:r>
        <w:rPr>
          <w:rFonts w:ascii="Arial" w:hAnsi="Arial" w:cs="Arial"/>
          <w:color w:val="auto"/>
          <w:sz w:val="24"/>
          <w:szCs w:val="24"/>
        </w:rPr>
        <w:t>.</w:t>
      </w:r>
      <w:r w:rsidRPr="004816F7">
        <w:rPr>
          <w:rFonts w:ascii="Arial" w:hAnsi="Arial" w:cs="Arial"/>
          <w:color w:val="auto"/>
          <w:sz w:val="24"/>
          <w:szCs w:val="24"/>
        </w:rPr>
        <w:t xml:space="preserve"> </w:t>
      </w:r>
      <w:r>
        <w:rPr>
          <w:rFonts w:ascii="Arial" w:hAnsi="Arial" w:cs="Arial"/>
          <w:color w:val="auto"/>
          <w:sz w:val="24"/>
          <w:szCs w:val="24"/>
        </w:rPr>
        <w:tab/>
        <w:t>False</w:t>
      </w:r>
      <w:r w:rsidR="00D95067">
        <w:rPr>
          <w:rFonts w:ascii="Arial" w:hAnsi="Arial" w:cs="Arial"/>
          <w:color w:val="auto"/>
          <w:sz w:val="24"/>
          <w:szCs w:val="24"/>
        </w:rPr>
        <w:t xml:space="preserve">- returns are the same for what kind of stocks? </w:t>
      </w:r>
    </w:p>
    <w:p w:rsidR="00962FD4" w:rsidRDefault="00962FD4" w:rsidP="00962FD4">
      <w:pPr>
        <w:pStyle w:val="eaplnm"/>
        <w:spacing w:before="0"/>
        <w:ind w:left="432"/>
        <w:rPr>
          <w:rFonts w:cs="Arial"/>
          <w:color w:val="auto"/>
          <w:sz w:val="24"/>
          <w:szCs w:val="24"/>
        </w:rPr>
      </w:pPr>
      <w:r w:rsidRPr="004816F7">
        <w:rPr>
          <w:rFonts w:cs="Arial"/>
          <w:color w:val="auto"/>
          <w:sz w:val="24"/>
          <w:szCs w:val="24"/>
        </w:rPr>
        <w:t> </w:t>
      </w:r>
    </w:p>
    <w:p w:rsidR="00962FD4" w:rsidRPr="004816F7" w:rsidRDefault="00962FD4" w:rsidP="00962FD4">
      <w:pPr>
        <w:pStyle w:val="eaplnm"/>
        <w:spacing w:before="0"/>
        <w:ind w:left="432"/>
        <w:rPr>
          <w:rFonts w:ascii="Arial" w:hAnsi="Arial" w:cs="Arial"/>
          <w:color w:val="auto"/>
          <w:sz w:val="24"/>
          <w:szCs w:val="24"/>
        </w:rPr>
      </w:pPr>
    </w:p>
    <w:p w:rsidR="00962FD4" w:rsidRPr="004816F7" w:rsidRDefault="00962FD4" w:rsidP="00962FD4">
      <w:pPr>
        <w:pStyle w:val="eaplnm"/>
        <w:spacing w:before="0"/>
        <w:ind w:left="432"/>
        <w:rPr>
          <w:rFonts w:ascii="Arial" w:hAnsi="Arial" w:cs="Arial"/>
          <w:color w:val="auto"/>
          <w:sz w:val="24"/>
          <w:szCs w:val="24"/>
        </w:rPr>
      </w:pPr>
      <w:r w:rsidRPr="004816F7">
        <w:rPr>
          <w:rStyle w:val="bold"/>
          <w:rFonts w:ascii="Arial" w:hAnsi="Arial" w:cs="Arial"/>
          <w:b w:val="0"/>
          <w:bCs w:val="0"/>
          <w:color w:val="auto"/>
          <w:sz w:val="24"/>
          <w:szCs w:val="24"/>
        </w:rPr>
        <w:t>5.</w:t>
      </w:r>
      <w:r w:rsidRPr="004816F7">
        <w:rPr>
          <w:rFonts w:ascii="Arial" w:hAnsi="Arial" w:cs="Arial"/>
          <w:color w:val="auto"/>
          <w:sz w:val="24"/>
          <w:szCs w:val="24"/>
        </w:rPr>
        <w:tab/>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816F7">
        <w:rPr>
          <w:rFonts w:ascii="Arial" w:hAnsi="Arial" w:cs="Arial"/>
          <w:color w:val="auto"/>
          <w:sz w:val="24"/>
          <w:szCs w:val="24"/>
        </w:rPr>
        <w:t>6 - (-.2 + 1.45 X 5) = -1.05%.</w:t>
      </w:r>
    </w:p>
    <w:p w:rsidR="00962FD4" w:rsidRDefault="00962FD4" w:rsidP="00962FD4">
      <w:pPr>
        <w:pStyle w:val="eaplnm"/>
        <w:spacing w:before="0"/>
        <w:ind w:left="432"/>
        <w:rPr>
          <w:rFonts w:cs="Arial"/>
          <w:color w:val="auto"/>
          <w:sz w:val="24"/>
          <w:szCs w:val="24"/>
        </w:rPr>
      </w:pPr>
      <w:r w:rsidRPr="004816F7">
        <w:rPr>
          <w:rFonts w:cs="Arial"/>
          <w:color w:val="auto"/>
          <w:sz w:val="24"/>
          <w:szCs w:val="24"/>
        </w:rPr>
        <w:t> </w:t>
      </w:r>
    </w:p>
    <w:p w:rsidR="00962FD4" w:rsidRPr="004816F7" w:rsidRDefault="00962FD4" w:rsidP="00962FD4">
      <w:pPr>
        <w:pStyle w:val="eaplnm"/>
        <w:spacing w:before="0"/>
        <w:ind w:left="432"/>
        <w:rPr>
          <w:rFonts w:ascii="Arial" w:hAnsi="Arial" w:cs="Arial"/>
          <w:color w:val="auto"/>
          <w:sz w:val="24"/>
          <w:szCs w:val="24"/>
        </w:rPr>
      </w:pPr>
    </w:p>
    <w:p w:rsidR="00962FD4" w:rsidRDefault="00962FD4" w:rsidP="00962FD4">
      <w:pPr>
        <w:pStyle w:val="eaplnm"/>
        <w:spacing w:before="0"/>
        <w:ind w:left="432"/>
        <w:rPr>
          <w:rFonts w:ascii="Arial" w:hAnsi="Arial" w:cs="Arial"/>
          <w:color w:val="auto"/>
          <w:sz w:val="24"/>
          <w:szCs w:val="24"/>
        </w:rPr>
      </w:pPr>
      <w:r w:rsidRPr="004816F7">
        <w:rPr>
          <w:rStyle w:val="bold"/>
          <w:rFonts w:ascii="Arial" w:hAnsi="Arial" w:cs="Arial"/>
          <w:b w:val="0"/>
          <w:bCs w:val="0"/>
          <w:color w:val="auto"/>
          <w:sz w:val="24"/>
          <w:szCs w:val="24"/>
        </w:rPr>
        <w:t>6.</w:t>
      </w:r>
      <w:r w:rsidRPr="004816F7">
        <w:rPr>
          <w:rFonts w:ascii="Arial" w:hAnsi="Arial" w:cs="Arial"/>
          <w:color w:val="auto"/>
          <w:sz w:val="24"/>
          <w:szCs w:val="24"/>
        </w:rPr>
        <w:tab/>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sidRPr="004816F7">
        <w:rPr>
          <w:rStyle w:val="bold"/>
          <w:rFonts w:ascii="Arial" w:hAnsi="Arial" w:cs="Arial"/>
          <w:b w:val="0"/>
          <w:bCs w:val="0"/>
          <w:color w:val="auto"/>
          <w:sz w:val="24"/>
          <w:szCs w:val="24"/>
        </w:rPr>
        <w:t>a</w:t>
      </w:r>
      <w:proofErr w:type="gramEnd"/>
      <w:r>
        <w:rPr>
          <w:rFonts w:ascii="Arial" w:hAnsi="Arial" w:cs="Arial"/>
          <w:color w:val="auto"/>
          <w:sz w:val="24"/>
          <w:szCs w:val="24"/>
        </w:rPr>
        <w:t>.</w:t>
      </w:r>
      <w:r w:rsidRPr="004816F7">
        <w:rPr>
          <w:rFonts w:ascii="Arial" w:hAnsi="Arial" w:cs="Arial"/>
          <w:color w:val="auto"/>
          <w:sz w:val="24"/>
          <w:szCs w:val="24"/>
        </w:rPr>
        <w:t xml:space="preserve"> </w:t>
      </w:r>
      <w:r>
        <w:rPr>
          <w:rFonts w:ascii="Arial" w:hAnsi="Arial" w:cs="Arial"/>
          <w:color w:val="auto"/>
          <w:sz w:val="24"/>
          <w:szCs w:val="24"/>
        </w:rPr>
        <w:tab/>
      </w:r>
      <w:r w:rsidRPr="004816F7">
        <w:rPr>
          <w:rFonts w:ascii="Arial" w:hAnsi="Arial" w:cs="Arial"/>
          <w:color w:val="auto"/>
          <w:sz w:val="24"/>
          <w:szCs w:val="24"/>
        </w:rPr>
        <w:t>True</w:t>
      </w:r>
    </w:p>
    <w:p w:rsidR="00962FD4" w:rsidRDefault="00962FD4" w:rsidP="00962FD4">
      <w:pPr>
        <w:pStyle w:val="eaplnm"/>
        <w:spacing w:before="0"/>
        <w:ind w:left="432"/>
        <w:rPr>
          <w:rFonts w:ascii="Arial" w:hAnsi="Arial" w:cs="Arial"/>
          <w:color w:val="auto"/>
          <w:sz w:val="24"/>
          <w:szCs w:val="24"/>
        </w:rPr>
      </w:pPr>
    </w:p>
    <w:p w:rsidR="00962FD4" w:rsidRDefault="00962FD4" w:rsidP="00962FD4">
      <w:pPr>
        <w:pStyle w:val="eaplnm"/>
        <w:spacing w:before="0"/>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816F7">
        <w:rPr>
          <w:rStyle w:val="bold"/>
          <w:rFonts w:ascii="Arial" w:hAnsi="Arial" w:cs="Arial"/>
          <w:b w:val="0"/>
          <w:bCs w:val="0"/>
          <w:color w:val="auto"/>
          <w:sz w:val="24"/>
          <w:szCs w:val="24"/>
        </w:rPr>
        <w:t>b</w:t>
      </w:r>
      <w:r>
        <w:rPr>
          <w:rFonts w:ascii="Arial" w:hAnsi="Arial" w:cs="Arial"/>
          <w:color w:val="auto"/>
          <w:sz w:val="24"/>
          <w:szCs w:val="24"/>
        </w:rPr>
        <w:t xml:space="preserve">. </w:t>
      </w:r>
      <w:r>
        <w:rPr>
          <w:rFonts w:ascii="Arial" w:hAnsi="Arial" w:cs="Arial"/>
          <w:color w:val="auto"/>
          <w:sz w:val="24"/>
          <w:szCs w:val="24"/>
        </w:rPr>
        <w:tab/>
        <w:t>F</w:t>
      </w:r>
      <w:r w:rsidRPr="004816F7">
        <w:rPr>
          <w:rFonts w:ascii="Arial" w:hAnsi="Arial" w:cs="Arial"/>
          <w:color w:val="auto"/>
          <w:sz w:val="24"/>
          <w:szCs w:val="24"/>
        </w:rPr>
        <w:t>alse</w:t>
      </w:r>
    </w:p>
    <w:p w:rsidR="00962FD4" w:rsidRDefault="00962FD4" w:rsidP="00962FD4">
      <w:pPr>
        <w:pStyle w:val="eaplnm"/>
        <w:spacing w:before="0"/>
        <w:ind w:left="432"/>
        <w:rPr>
          <w:rFonts w:ascii="Arial" w:hAnsi="Arial" w:cs="Arial"/>
          <w:color w:val="auto"/>
          <w:sz w:val="24"/>
          <w:szCs w:val="24"/>
        </w:rPr>
      </w:pPr>
    </w:p>
    <w:p w:rsidR="00962FD4" w:rsidRDefault="00962FD4" w:rsidP="00962FD4">
      <w:pPr>
        <w:pStyle w:val="eaplnm"/>
        <w:spacing w:before="0"/>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816F7">
        <w:rPr>
          <w:rStyle w:val="bold"/>
          <w:rFonts w:ascii="Arial" w:hAnsi="Arial" w:cs="Arial"/>
          <w:b w:val="0"/>
          <w:bCs w:val="0"/>
          <w:color w:val="auto"/>
          <w:sz w:val="24"/>
          <w:szCs w:val="24"/>
        </w:rPr>
        <w:t>c</w:t>
      </w:r>
      <w:r>
        <w:rPr>
          <w:rFonts w:ascii="Arial" w:hAnsi="Arial" w:cs="Arial"/>
          <w:color w:val="auto"/>
          <w:sz w:val="24"/>
          <w:szCs w:val="24"/>
        </w:rPr>
        <w:t xml:space="preserve">. </w:t>
      </w:r>
      <w:r>
        <w:rPr>
          <w:rFonts w:ascii="Arial" w:hAnsi="Arial" w:cs="Arial"/>
          <w:color w:val="auto"/>
          <w:sz w:val="24"/>
          <w:szCs w:val="24"/>
        </w:rPr>
        <w:tab/>
        <w:t>T</w:t>
      </w:r>
      <w:r w:rsidRPr="004816F7">
        <w:rPr>
          <w:rFonts w:ascii="Arial" w:hAnsi="Arial" w:cs="Arial"/>
          <w:color w:val="auto"/>
          <w:sz w:val="24"/>
          <w:szCs w:val="24"/>
        </w:rPr>
        <w:t>rue</w:t>
      </w:r>
    </w:p>
    <w:p w:rsidR="00962FD4" w:rsidRDefault="00962FD4" w:rsidP="00962FD4">
      <w:pPr>
        <w:pStyle w:val="eaplnm"/>
        <w:tabs>
          <w:tab w:val="left" w:pos="720"/>
        </w:tabs>
        <w:spacing w:before="0"/>
        <w:ind w:left="432"/>
        <w:rPr>
          <w:rFonts w:ascii="Arial" w:hAnsi="Arial" w:cs="Arial"/>
          <w:color w:val="auto"/>
          <w:sz w:val="24"/>
          <w:szCs w:val="24"/>
        </w:rPr>
      </w:pPr>
    </w:p>
    <w:p w:rsidR="00962FD4" w:rsidRPr="004816F7" w:rsidRDefault="00962FD4" w:rsidP="00962FD4">
      <w:pPr>
        <w:pStyle w:val="eaplnm"/>
        <w:spacing w:before="0"/>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816F7">
        <w:rPr>
          <w:rStyle w:val="bold"/>
          <w:rFonts w:ascii="Arial" w:hAnsi="Arial" w:cs="Arial"/>
          <w:b w:val="0"/>
          <w:bCs w:val="0"/>
          <w:color w:val="auto"/>
          <w:sz w:val="24"/>
          <w:szCs w:val="24"/>
        </w:rPr>
        <w:t>d</w:t>
      </w:r>
      <w:r>
        <w:rPr>
          <w:rFonts w:ascii="Arial" w:hAnsi="Arial" w:cs="Arial"/>
          <w:color w:val="auto"/>
          <w:sz w:val="24"/>
          <w:szCs w:val="24"/>
        </w:rPr>
        <w:t xml:space="preserve">. </w:t>
      </w:r>
      <w:r>
        <w:rPr>
          <w:rFonts w:ascii="Arial" w:hAnsi="Arial" w:cs="Arial"/>
          <w:color w:val="auto"/>
          <w:sz w:val="24"/>
          <w:szCs w:val="24"/>
        </w:rPr>
        <w:tab/>
        <w:t>True</w:t>
      </w:r>
      <w:r w:rsidR="00A54456">
        <w:rPr>
          <w:rFonts w:ascii="Arial" w:hAnsi="Arial" w:cs="Arial"/>
          <w:color w:val="auto"/>
          <w:sz w:val="24"/>
          <w:szCs w:val="24"/>
        </w:rPr>
        <w:t xml:space="preserve"> – can managers increase EPS?  </w:t>
      </w:r>
    </w:p>
    <w:p w:rsidR="00962FD4" w:rsidRDefault="00962FD4" w:rsidP="00962FD4">
      <w:pPr>
        <w:pStyle w:val="eaplnm"/>
        <w:spacing w:before="0"/>
        <w:ind w:left="432"/>
        <w:rPr>
          <w:rFonts w:cs="Arial"/>
          <w:color w:val="auto"/>
          <w:sz w:val="24"/>
          <w:szCs w:val="24"/>
        </w:rPr>
      </w:pPr>
      <w:r w:rsidRPr="004816F7">
        <w:rPr>
          <w:rFonts w:cs="Arial"/>
          <w:color w:val="auto"/>
          <w:sz w:val="24"/>
          <w:szCs w:val="24"/>
        </w:rPr>
        <w:t> </w:t>
      </w:r>
    </w:p>
    <w:p w:rsidR="00962FD4" w:rsidRPr="004816F7" w:rsidRDefault="00962FD4" w:rsidP="00962FD4">
      <w:pPr>
        <w:pStyle w:val="eaplnm"/>
        <w:spacing w:before="0"/>
        <w:ind w:left="432"/>
        <w:rPr>
          <w:rFonts w:ascii="Arial" w:hAnsi="Arial" w:cs="Arial"/>
          <w:color w:val="auto"/>
          <w:sz w:val="24"/>
          <w:szCs w:val="24"/>
        </w:rPr>
      </w:pPr>
    </w:p>
    <w:p w:rsidR="00962FD4" w:rsidRDefault="00962FD4" w:rsidP="00962FD4">
      <w:pPr>
        <w:pStyle w:val="eaplnm"/>
        <w:spacing w:before="0"/>
        <w:ind w:left="717" w:hanging="645"/>
        <w:rPr>
          <w:rFonts w:ascii="Arial" w:hAnsi="Arial" w:cs="Arial"/>
          <w:color w:val="auto"/>
          <w:sz w:val="24"/>
          <w:szCs w:val="24"/>
        </w:rPr>
      </w:pPr>
      <w:r w:rsidRPr="004816F7">
        <w:rPr>
          <w:rStyle w:val="bold"/>
          <w:rFonts w:ascii="Arial" w:hAnsi="Arial" w:cs="Arial"/>
          <w:b w:val="0"/>
          <w:bCs w:val="0"/>
          <w:color w:val="auto"/>
          <w:sz w:val="24"/>
          <w:szCs w:val="24"/>
        </w:rPr>
        <w:t>7.</w:t>
      </w:r>
      <w:r w:rsidRPr="004816F7">
        <w:rPr>
          <w:rFonts w:ascii="Arial" w:hAnsi="Arial" w:cs="Arial"/>
          <w:color w:val="auto"/>
          <w:sz w:val="24"/>
          <w:szCs w:val="24"/>
        </w:rPr>
        <w:tab/>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816F7">
        <w:rPr>
          <w:rFonts w:ascii="Arial" w:hAnsi="Arial" w:cs="Arial"/>
          <w:color w:val="auto"/>
          <w:sz w:val="24"/>
          <w:szCs w:val="24"/>
        </w:rPr>
        <w:t xml:space="preserve">Decrease. The stock price already reflects an expected 25% increase. The 20% </w:t>
      </w:r>
      <w:r w:rsidRPr="004816F7">
        <w:rPr>
          <w:rFonts w:ascii="Arial" w:hAnsi="Arial" w:cs="Arial"/>
          <w:color w:val="auto"/>
          <w:sz w:val="24"/>
          <w:szCs w:val="24"/>
        </w:rPr>
        <w:lastRenderedPageBreak/>
        <w:t>increase conveys bad news relative to expectations.</w:t>
      </w:r>
    </w:p>
    <w:p w:rsidR="00962FD4" w:rsidRPr="004816F7" w:rsidRDefault="00962FD4" w:rsidP="00962FD4">
      <w:pPr>
        <w:pStyle w:val="eaplnm"/>
        <w:spacing w:before="0"/>
        <w:ind w:left="717" w:hanging="645"/>
        <w:rPr>
          <w:rFonts w:ascii="Arial" w:hAnsi="Arial" w:cs="Arial"/>
          <w:color w:val="auto"/>
          <w:sz w:val="24"/>
          <w:szCs w:val="24"/>
        </w:rPr>
      </w:pPr>
      <w:bookmarkStart w:id="0" w:name="_GoBack"/>
      <w:bookmarkEnd w:id="0"/>
      <w:r w:rsidRPr="004816F7">
        <w:rPr>
          <w:rFonts w:cs="Arial"/>
          <w:color w:val="auto"/>
          <w:sz w:val="24"/>
          <w:szCs w:val="24"/>
        </w:rPr>
        <w:t> </w:t>
      </w:r>
    </w:p>
    <w:p w:rsidR="00962FD4" w:rsidRDefault="00962FD4" w:rsidP="00962FD4">
      <w:pPr>
        <w:pStyle w:val="eaplnm"/>
        <w:spacing w:before="0"/>
        <w:ind w:left="432"/>
        <w:rPr>
          <w:rFonts w:ascii="Arial" w:hAnsi="Arial" w:cs="Arial"/>
          <w:color w:val="auto"/>
          <w:sz w:val="24"/>
          <w:szCs w:val="24"/>
        </w:rPr>
      </w:pPr>
      <w:r w:rsidRPr="004816F7">
        <w:rPr>
          <w:rStyle w:val="bold"/>
          <w:rFonts w:ascii="Arial" w:hAnsi="Arial" w:cs="Arial"/>
          <w:b w:val="0"/>
          <w:bCs w:val="0"/>
          <w:color w:val="auto"/>
          <w:sz w:val="24"/>
          <w:szCs w:val="24"/>
        </w:rPr>
        <w:t>8.</w:t>
      </w:r>
      <w:r w:rsidRPr="004816F7">
        <w:rPr>
          <w:rFonts w:ascii="Arial" w:hAnsi="Arial" w:cs="Arial"/>
          <w:color w:val="auto"/>
          <w:sz w:val="24"/>
          <w:szCs w:val="24"/>
        </w:rPr>
        <w:tab/>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816F7">
        <w:rPr>
          <w:rStyle w:val="bold"/>
          <w:rFonts w:ascii="Arial" w:hAnsi="Arial" w:cs="Arial"/>
          <w:b w:val="0"/>
          <w:bCs w:val="0"/>
          <w:color w:val="auto"/>
          <w:sz w:val="24"/>
          <w:szCs w:val="24"/>
        </w:rPr>
        <w:t>a.</w:t>
      </w:r>
      <w:r w:rsidRPr="004816F7">
        <w:rPr>
          <w:rFonts w:ascii="Arial" w:hAnsi="Arial" w:cs="Arial"/>
          <w:color w:val="auto"/>
          <w:sz w:val="24"/>
          <w:szCs w:val="24"/>
        </w:rPr>
        <w:tab/>
      </w:r>
      <w:r w:rsidR="00AE1096">
        <w:rPr>
          <w:rFonts w:ascii="Arial" w:hAnsi="Arial" w:cs="Arial"/>
          <w:color w:val="auto"/>
          <w:sz w:val="24"/>
          <w:szCs w:val="24"/>
        </w:rPr>
        <w:t xml:space="preserve">Executives </w:t>
      </w:r>
      <w:r w:rsidRPr="004816F7">
        <w:rPr>
          <w:rFonts w:ascii="Arial" w:hAnsi="Arial" w:cs="Arial"/>
          <w:color w:val="auto"/>
          <w:sz w:val="24"/>
          <w:szCs w:val="24"/>
        </w:rPr>
        <w:t xml:space="preserve">should not </w:t>
      </w:r>
      <w:r w:rsidR="00AE1096">
        <w:rPr>
          <w:rFonts w:ascii="Arial" w:hAnsi="Arial" w:cs="Arial"/>
          <w:color w:val="auto"/>
          <w:sz w:val="24"/>
          <w:szCs w:val="24"/>
        </w:rPr>
        <w:t xml:space="preserve">plan on issuing </w:t>
      </w:r>
      <w:r w:rsidRPr="004816F7">
        <w:rPr>
          <w:rFonts w:ascii="Arial" w:hAnsi="Arial" w:cs="Arial"/>
          <w:color w:val="auto"/>
          <w:sz w:val="24"/>
          <w:szCs w:val="24"/>
        </w:rPr>
        <w:t xml:space="preserve">shares based on apparent trends or </w:t>
      </w:r>
    </w:p>
    <w:p w:rsidR="00962FD4" w:rsidRPr="004816F7" w:rsidRDefault="00962FD4" w:rsidP="00962FD4">
      <w:pPr>
        <w:pStyle w:val="eaplnm"/>
        <w:spacing w:before="0"/>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sidRPr="004816F7">
        <w:rPr>
          <w:rFonts w:ascii="Arial" w:hAnsi="Arial" w:cs="Arial"/>
          <w:color w:val="auto"/>
          <w:sz w:val="24"/>
          <w:szCs w:val="24"/>
        </w:rPr>
        <w:t>cycles</w:t>
      </w:r>
      <w:proofErr w:type="gramEnd"/>
      <w:r w:rsidRPr="004816F7">
        <w:rPr>
          <w:rFonts w:ascii="Arial" w:hAnsi="Arial" w:cs="Arial"/>
          <w:color w:val="auto"/>
          <w:sz w:val="24"/>
          <w:szCs w:val="24"/>
        </w:rPr>
        <w:t xml:space="preserve"> in </w:t>
      </w:r>
      <w:r w:rsidR="00AE1096">
        <w:rPr>
          <w:rFonts w:ascii="Arial" w:hAnsi="Arial" w:cs="Arial"/>
          <w:color w:val="auto"/>
          <w:sz w:val="24"/>
          <w:szCs w:val="24"/>
        </w:rPr>
        <w:t xml:space="preserve">their company’s stock price. </w:t>
      </w:r>
    </w:p>
    <w:p w:rsidR="00962FD4" w:rsidRPr="004816F7" w:rsidRDefault="00962FD4" w:rsidP="00962FD4">
      <w:pPr>
        <w:pStyle w:val="eaplnm"/>
        <w:spacing w:before="0"/>
        <w:ind w:left="432"/>
        <w:rPr>
          <w:rFonts w:ascii="Arial" w:hAnsi="Arial" w:cs="Arial"/>
          <w:color w:val="auto"/>
          <w:sz w:val="24"/>
          <w:szCs w:val="24"/>
        </w:rPr>
      </w:pPr>
    </w:p>
    <w:p w:rsidR="00AE1096" w:rsidRDefault="00962FD4" w:rsidP="00962FD4">
      <w:pPr>
        <w:pStyle w:val="eapla"/>
        <w:ind w:left="432"/>
        <w:rPr>
          <w:rFonts w:ascii="Arial" w:hAnsi="Arial" w:cs="Arial"/>
          <w:color w:val="auto"/>
          <w:sz w:val="24"/>
          <w:szCs w:val="24"/>
        </w:rPr>
      </w:pPr>
      <w:r w:rsidRPr="004816F7">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816F7">
        <w:rPr>
          <w:rStyle w:val="bold"/>
          <w:rFonts w:ascii="Arial" w:hAnsi="Arial" w:cs="Arial"/>
          <w:b w:val="0"/>
          <w:bCs w:val="0"/>
          <w:color w:val="auto"/>
          <w:sz w:val="24"/>
          <w:szCs w:val="24"/>
        </w:rPr>
        <w:t>b.</w:t>
      </w:r>
      <w:r w:rsidRPr="004816F7">
        <w:rPr>
          <w:rFonts w:ascii="Arial" w:hAnsi="Arial" w:cs="Arial"/>
          <w:color w:val="auto"/>
          <w:sz w:val="24"/>
          <w:szCs w:val="24"/>
        </w:rPr>
        <w:tab/>
      </w:r>
      <w:r w:rsidR="00AE1096">
        <w:rPr>
          <w:rFonts w:ascii="Arial" w:hAnsi="Arial" w:cs="Arial"/>
          <w:color w:val="auto"/>
          <w:sz w:val="24"/>
          <w:szCs w:val="24"/>
        </w:rPr>
        <w:t>Executives can observe their company’s stock price change and use the</w:t>
      </w:r>
    </w:p>
    <w:p w:rsidR="00AE1096" w:rsidRDefault="00AE1096" w:rsidP="00962FD4">
      <w:pPr>
        <w:pStyle w:val="eapla"/>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Pr>
          <w:rFonts w:ascii="Arial" w:hAnsi="Arial" w:cs="Arial"/>
          <w:color w:val="auto"/>
          <w:sz w:val="24"/>
          <w:szCs w:val="24"/>
        </w:rPr>
        <w:t>change</w:t>
      </w:r>
      <w:proofErr w:type="gramEnd"/>
      <w:r>
        <w:rPr>
          <w:rFonts w:ascii="Arial" w:hAnsi="Arial" w:cs="Arial"/>
          <w:color w:val="auto"/>
          <w:sz w:val="24"/>
          <w:szCs w:val="24"/>
        </w:rPr>
        <w:t xml:space="preserve"> as a reliable source of market-based information about the future</w:t>
      </w:r>
    </w:p>
    <w:p w:rsidR="009C00A6" w:rsidRDefault="00AE1096" w:rsidP="00962FD4">
      <w:pPr>
        <w:pStyle w:val="eapla"/>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Pr>
          <w:rFonts w:ascii="Arial" w:hAnsi="Arial" w:cs="Arial"/>
          <w:color w:val="auto"/>
          <w:sz w:val="24"/>
          <w:szCs w:val="24"/>
        </w:rPr>
        <w:t>prospects</w:t>
      </w:r>
      <w:proofErr w:type="gramEnd"/>
      <w:r>
        <w:rPr>
          <w:rFonts w:ascii="Arial" w:hAnsi="Arial" w:cs="Arial"/>
          <w:color w:val="auto"/>
          <w:sz w:val="24"/>
          <w:szCs w:val="24"/>
        </w:rPr>
        <w:t xml:space="preserve"> of the company.</w:t>
      </w:r>
      <w:r w:rsidR="00962FD4" w:rsidRPr="004816F7">
        <w:rPr>
          <w:rFonts w:ascii="Arial" w:hAnsi="Arial" w:cs="Arial"/>
          <w:color w:val="auto"/>
          <w:sz w:val="24"/>
          <w:szCs w:val="24"/>
        </w:rPr>
        <w:t xml:space="preserve"> </w:t>
      </w:r>
      <w:r>
        <w:rPr>
          <w:rFonts w:ascii="Arial" w:hAnsi="Arial" w:cs="Arial"/>
          <w:color w:val="auto"/>
          <w:sz w:val="24"/>
          <w:szCs w:val="24"/>
        </w:rPr>
        <w:t xml:space="preserve"> Stock price changes are the best forecast of</w:t>
      </w:r>
    </w:p>
    <w:p w:rsidR="009C00A6" w:rsidRDefault="009C00A6" w:rsidP="00962FD4">
      <w:pPr>
        <w:pStyle w:val="eapla"/>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Pr>
          <w:rFonts w:ascii="Arial" w:hAnsi="Arial" w:cs="Arial"/>
          <w:color w:val="auto"/>
          <w:sz w:val="24"/>
          <w:szCs w:val="24"/>
        </w:rPr>
        <w:t>a</w:t>
      </w:r>
      <w:proofErr w:type="gramEnd"/>
      <w:r>
        <w:rPr>
          <w:rFonts w:ascii="Arial" w:hAnsi="Arial" w:cs="Arial"/>
          <w:color w:val="auto"/>
          <w:sz w:val="24"/>
          <w:szCs w:val="24"/>
        </w:rPr>
        <w:t xml:space="preserve"> company’s future earnings as well as the best forecast future industry</w:t>
      </w:r>
    </w:p>
    <w:p w:rsidR="00962FD4" w:rsidRDefault="009C00A6" w:rsidP="00962FD4">
      <w:pPr>
        <w:pStyle w:val="eapla"/>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Pr>
          <w:rFonts w:ascii="Arial" w:hAnsi="Arial" w:cs="Arial"/>
          <w:color w:val="auto"/>
          <w:sz w:val="24"/>
          <w:szCs w:val="24"/>
        </w:rPr>
        <w:t>earnings</w:t>
      </w:r>
      <w:proofErr w:type="gramEnd"/>
      <w:r>
        <w:rPr>
          <w:rFonts w:ascii="Arial" w:hAnsi="Arial" w:cs="Arial"/>
          <w:color w:val="auto"/>
          <w:sz w:val="24"/>
          <w:szCs w:val="24"/>
        </w:rPr>
        <w:t>.</w:t>
      </w:r>
    </w:p>
    <w:p w:rsidR="00962FD4" w:rsidRPr="004816F7" w:rsidRDefault="00962FD4" w:rsidP="00AE1096">
      <w:pPr>
        <w:pStyle w:val="eapla"/>
        <w:ind w:left="1440"/>
        <w:rPr>
          <w:rFonts w:ascii="Arial" w:hAnsi="Arial" w:cs="Arial"/>
          <w:color w:val="auto"/>
          <w:sz w:val="24"/>
          <w:szCs w:val="24"/>
        </w:rPr>
      </w:pPr>
      <w:r>
        <w:rPr>
          <w:rFonts w:ascii="Arial" w:hAnsi="Arial" w:cs="Arial"/>
          <w:color w:val="auto"/>
          <w:sz w:val="24"/>
          <w:szCs w:val="24"/>
        </w:rPr>
        <w:tab/>
      </w:r>
    </w:p>
    <w:p w:rsidR="00962FD4" w:rsidRDefault="00962FD4" w:rsidP="00962FD4">
      <w:pPr>
        <w:pStyle w:val="eapla"/>
        <w:ind w:left="720" w:hanging="885"/>
        <w:rPr>
          <w:rFonts w:ascii="Arial" w:hAnsi="Arial" w:cs="Arial"/>
          <w:color w:val="auto"/>
          <w:spacing w:val="1"/>
          <w:sz w:val="24"/>
          <w:szCs w:val="24"/>
        </w:rPr>
      </w:pPr>
      <w:r w:rsidRPr="004816F7">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816F7">
        <w:rPr>
          <w:rStyle w:val="bold"/>
          <w:rFonts w:ascii="Arial" w:hAnsi="Arial" w:cs="Arial"/>
          <w:b w:val="0"/>
          <w:bCs w:val="0"/>
          <w:color w:val="auto"/>
          <w:sz w:val="24"/>
          <w:szCs w:val="24"/>
        </w:rPr>
        <w:t>c.</w:t>
      </w:r>
      <w:r w:rsidRPr="004816F7">
        <w:rPr>
          <w:rFonts w:ascii="Arial" w:hAnsi="Arial" w:cs="Arial"/>
          <w:color w:val="auto"/>
          <w:sz w:val="24"/>
          <w:szCs w:val="24"/>
        </w:rPr>
        <w:tab/>
        <w:t>A financial manager evaluating the creditwor</w:t>
      </w:r>
      <w:r w:rsidRPr="004816F7">
        <w:rPr>
          <w:rFonts w:ascii="Arial" w:hAnsi="Arial" w:cs="Arial"/>
          <w:color w:val="auto"/>
          <w:spacing w:val="1"/>
          <w:sz w:val="24"/>
          <w:szCs w:val="24"/>
        </w:rPr>
        <w:t xml:space="preserve">thiness of a large customer </w:t>
      </w:r>
    </w:p>
    <w:p w:rsidR="00962FD4" w:rsidRPr="004816F7" w:rsidRDefault="00962FD4" w:rsidP="00962FD4">
      <w:pPr>
        <w:pStyle w:val="eapla"/>
        <w:ind w:left="1440" w:hanging="885"/>
        <w:rPr>
          <w:rFonts w:ascii="Arial" w:hAnsi="Arial" w:cs="Arial"/>
          <w:color w:val="auto"/>
          <w:sz w:val="24"/>
          <w:szCs w:val="24"/>
        </w:rPr>
      </w:pPr>
      <w:r>
        <w:rPr>
          <w:rFonts w:ascii="Arial" w:hAnsi="Arial" w:cs="Arial"/>
          <w:color w:val="auto"/>
          <w:spacing w:val="1"/>
          <w:sz w:val="24"/>
          <w:szCs w:val="24"/>
        </w:rPr>
        <w:tab/>
      </w:r>
      <w:r>
        <w:rPr>
          <w:rFonts w:ascii="Arial" w:hAnsi="Arial" w:cs="Arial"/>
          <w:color w:val="auto"/>
          <w:spacing w:val="1"/>
          <w:sz w:val="24"/>
          <w:szCs w:val="24"/>
        </w:rPr>
        <w:tab/>
      </w:r>
      <w:proofErr w:type="gramStart"/>
      <w:r w:rsidRPr="004816F7">
        <w:rPr>
          <w:rFonts w:ascii="Arial" w:hAnsi="Arial" w:cs="Arial"/>
          <w:color w:val="auto"/>
          <w:spacing w:val="1"/>
          <w:sz w:val="24"/>
          <w:szCs w:val="24"/>
        </w:rPr>
        <w:t>could</w:t>
      </w:r>
      <w:proofErr w:type="gramEnd"/>
      <w:r w:rsidRPr="004816F7">
        <w:rPr>
          <w:rFonts w:ascii="Arial" w:hAnsi="Arial" w:cs="Arial"/>
          <w:color w:val="auto"/>
          <w:spacing w:val="1"/>
          <w:sz w:val="24"/>
          <w:szCs w:val="24"/>
        </w:rPr>
        <w:t xml:space="preserve"> check the cus</w:t>
      </w:r>
      <w:r w:rsidRPr="004816F7">
        <w:rPr>
          <w:rFonts w:ascii="Arial" w:hAnsi="Arial" w:cs="Arial"/>
          <w:color w:val="auto"/>
          <w:sz w:val="24"/>
          <w:szCs w:val="24"/>
        </w:rPr>
        <w:t>tomer’s stock price and the yield on its debt. A falling stock price or a high yield could indicate trouble ahead.</w:t>
      </w:r>
    </w:p>
    <w:p w:rsidR="00962FD4" w:rsidRPr="004816F7" w:rsidRDefault="00962FD4" w:rsidP="00962FD4">
      <w:pPr>
        <w:pStyle w:val="eapla"/>
        <w:ind w:left="432"/>
        <w:rPr>
          <w:rFonts w:ascii="Arial" w:hAnsi="Arial" w:cs="Arial"/>
          <w:color w:val="auto"/>
          <w:sz w:val="24"/>
          <w:szCs w:val="24"/>
        </w:rPr>
      </w:pPr>
    </w:p>
    <w:p w:rsidR="00962FD4" w:rsidRDefault="00962FD4" w:rsidP="00962FD4">
      <w:pPr>
        <w:pStyle w:val="eapla"/>
        <w:ind w:left="432"/>
        <w:rPr>
          <w:rFonts w:ascii="Arial" w:hAnsi="Arial" w:cs="Arial"/>
          <w:color w:val="auto"/>
          <w:sz w:val="24"/>
          <w:szCs w:val="24"/>
        </w:rPr>
      </w:pPr>
      <w:r w:rsidRPr="004816F7">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816F7">
        <w:rPr>
          <w:rStyle w:val="bold"/>
          <w:rFonts w:ascii="Arial" w:hAnsi="Arial" w:cs="Arial"/>
          <w:b w:val="0"/>
          <w:bCs w:val="0"/>
          <w:color w:val="auto"/>
          <w:sz w:val="24"/>
          <w:szCs w:val="24"/>
        </w:rPr>
        <w:t>d.</w:t>
      </w:r>
      <w:r w:rsidRPr="004816F7">
        <w:rPr>
          <w:rFonts w:ascii="Arial" w:hAnsi="Arial" w:cs="Arial"/>
          <w:color w:val="auto"/>
          <w:sz w:val="24"/>
          <w:szCs w:val="24"/>
        </w:rPr>
        <w:tab/>
        <w:t xml:space="preserve">Don’t assume that accounting choices that increase or decrease earnings </w:t>
      </w:r>
    </w:p>
    <w:p w:rsidR="00962FD4" w:rsidRPr="004816F7" w:rsidRDefault="00962FD4" w:rsidP="00962FD4">
      <w:pPr>
        <w:pStyle w:val="eapla"/>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sidRPr="004816F7">
        <w:rPr>
          <w:rFonts w:ascii="Arial" w:hAnsi="Arial" w:cs="Arial"/>
          <w:color w:val="auto"/>
          <w:sz w:val="24"/>
          <w:szCs w:val="24"/>
        </w:rPr>
        <w:t>will</w:t>
      </w:r>
      <w:proofErr w:type="gramEnd"/>
      <w:r w:rsidRPr="004816F7">
        <w:rPr>
          <w:rFonts w:ascii="Arial" w:hAnsi="Arial" w:cs="Arial"/>
          <w:color w:val="auto"/>
          <w:sz w:val="24"/>
          <w:szCs w:val="24"/>
        </w:rPr>
        <w:t xml:space="preserve"> have any effect on stock price.</w:t>
      </w:r>
    </w:p>
    <w:p w:rsidR="00962FD4" w:rsidRPr="004816F7" w:rsidRDefault="00962FD4" w:rsidP="00962FD4">
      <w:pPr>
        <w:pStyle w:val="eapla"/>
        <w:ind w:left="432"/>
        <w:rPr>
          <w:rFonts w:ascii="Arial" w:hAnsi="Arial" w:cs="Arial"/>
          <w:color w:val="auto"/>
          <w:sz w:val="24"/>
          <w:szCs w:val="24"/>
        </w:rPr>
      </w:pPr>
    </w:p>
    <w:p w:rsidR="00962FD4" w:rsidRDefault="00962FD4" w:rsidP="00962FD4">
      <w:pPr>
        <w:pStyle w:val="eapla"/>
        <w:ind w:left="432"/>
        <w:rPr>
          <w:rFonts w:ascii="Arial" w:hAnsi="Arial" w:cs="Arial"/>
          <w:color w:val="auto"/>
          <w:sz w:val="24"/>
          <w:szCs w:val="24"/>
        </w:rPr>
      </w:pPr>
      <w:r w:rsidRPr="004816F7">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816F7">
        <w:rPr>
          <w:rStyle w:val="bold"/>
          <w:rFonts w:ascii="Arial" w:hAnsi="Arial" w:cs="Arial"/>
          <w:b w:val="0"/>
          <w:bCs w:val="0"/>
          <w:color w:val="auto"/>
          <w:sz w:val="24"/>
          <w:szCs w:val="24"/>
        </w:rPr>
        <w:t>e.</w:t>
      </w:r>
      <w:r w:rsidRPr="004816F7">
        <w:rPr>
          <w:rFonts w:ascii="Arial" w:hAnsi="Arial" w:cs="Arial"/>
          <w:color w:val="auto"/>
          <w:sz w:val="24"/>
          <w:szCs w:val="24"/>
        </w:rPr>
        <w:tab/>
        <w:t xml:space="preserve">The company should not seek diversification just to reduce risk. Investors </w:t>
      </w:r>
    </w:p>
    <w:p w:rsidR="009C00A6" w:rsidRDefault="00962FD4" w:rsidP="00962FD4">
      <w:pPr>
        <w:pStyle w:val="eapla"/>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sidRPr="004816F7">
        <w:rPr>
          <w:rFonts w:ascii="Arial" w:hAnsi="Arial" w:cs="Arial"/>
          <w:color w:val="auto"/>
          <w:sz w:val="24"/>
          <w:szCs w:val="24"/>
        </w:rPr>
        <w:t>can</w:t>
      </w:r>
      <w:proofErr w:type="gramEnd"/>
      <w:r w:rsidRPr="004816F7">
        <w:rPr>
          <w:rFonts w:ascii="Arial" w:hAnsi="Arial" w:cs="Arial"/>
          <w:color w:val="auto"/>
          <w:sz w:val="24"/>
          <w:szCs w:val="24"/>
        </w:rPr>
        <w:t xml:space="preserve"> diversify on their own.</w:t>
      </w:r>
      <w:r w:rsidR="009C00A6">
        <w:rPr>
          <w:rFonts w:ascii="Arial" w:hAnsi="Arial" w:cs="Arial"/>
          <w:color w:val="auto"/>
          <w:sz w:val="24"/>
          <w:szCs w:val="24"/>
        </w:rPr>
        <w:t xml:space="preserve">  They can also create their own dividends and </w:t>
      </w:r>
    </w:p>
    <w:p w:rsidR="00962FD4" w:rsidRPr="004816F7" w:rsidRDefault="009C00A6" w:rsidP="00962FD4">
      <w:pPr>
        <w:pStyle w:val="eapla"/>
        <w:ind w:left="432"/>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roofErr w:type="gramStart"/>
      <w:r>
        <w:rPr>
          <w:rFonts w:ascii="Arial" w:hAnsi="Arial" w:cs="Arial"/>
          <w:color w:val="auto"/>
          <w:sz w:val="24"/>
          <w:szCs w:val="24"/>
        </w:rPr>
        <w:t>they</w:t>
      </w:r>
      <w:proofErr w:type="gramEnd"/>
      <w:r>
        <w:rPr>
          <w:rFonts w:ascii="Arial" w:hAnsi="Arial" w:cs="Arial"/>
          <w:color w:val="auto"/>
          <w:sz w:val="24"/>
          <w:szCs w:val="24"/>
        </w:rPr>
        <w:t xml:space="preserve"> can lever-up for themselves.</w:t>
      </w:r>
    </w:p>
    <w:p w:rsidR="00962FD4" w:rsidRPr="004816F7" w:rsidRDefault="00962FD4" w:rsidP="00962FD4">
      <w:pPr>
        <w:pStyle w:val="eapla"/>
        <w:ind w:left="432"/>
        <w:rPr>
          <w:rFonts w:ascii="Arial" w:hAnsi="Arial" w:cs="Arial"/>
          <w:color w:val="auto"/>
          <w:sz w:val="24"/>
          <w:szCs w:val="24"/>
        </w:rPr>
      </w:pPr>
    </w:p>
    <w:p w:rsidR="00962FD4" w:rsidRPr="004816F7" w:rsidRDefault="00962FD4" w:rsidP="00962FD4">
      <w:pPr>
        <w:ind w:left="1440" w:hanging="720"/>
        <w:rPr>
          <w:rFonts w:cs="Arial"/>
        </w:rPr>
      </w:pPr>
      <w:r w:rsidRPr="004816F7">
        <w:rPr>
          <w:rStyle w:val="bold"/>
          <w:rFonts w:cs="Arial"/>
          <w:b w:val="0"/>
          <w:bCs w:val="0"/>
        </w:rPr>
        <w:t>f.</w:t>
      </w:r>
      <w:r w:rsidRPr="004816F7">
        <w:rPr>
          <w:rFonts w:cs="Arial"/>
        </w:rPr>
        <w:t xml:space="preserve">   </w:t>
      </w:r>
      <w:r>
        <w:rPr>
          <w:rFonts w:cs="Arial"/>
        </w:rPr>
        <w:tab/>
      </w:r>
      <w:r w:rsidR="009C00A6">
        <w:rPr>
          <w:rFonts w:cs="Arial"/>
        </w:rPr>
        <w:t>Stock issuances</w:t>
      </w:r>
      <w:r w:rsidRPr="004816F7">
        <w:rPr>
          <w:rFonts w:cs="Arial"/>
        </w:rPr>
        <w:t xml:space="preserve"> do not depress price</w:t>
      </w:r>
      <w:r w:rsidR="009C00A6">
        <w:rPr>
          <w:rFonts w:cs="Arial"/>
        </w:rPr>
        <w:t xml:space="preserve"> by increasing supply, and buybacks do not</w:t>
      </w:r>
      <w:r w:rsidRPr="004816F7">
        <w:rPr>
          <w:rFonts w:cs="Arial"/>
        </w:rPr>
        <w:t xml:space="preserve"> </w:t>
      </w:r>
      <w:r w:rsidR="009C00A6">
        <w:rPr>
          <w:rFonts w:cs="Arial"/>
        </w:rPr>
        <w:t>in</w:t>
      </w:r>
      <w:r w:rsidR="0001223E">
        <w:rPr>
          <w:rFonts w:cs="Arial"/>
        </w:rPr>
        <w:t xml:space="preserve">crease price by reducing supply (assuming </w:t>
      </w:r>
      <w:r w:rsidRPr="004816F7">
        <w:rPr>
          <w:rFonts w:cs="Arial"/>
        </w:rPr>
        <w:t xml:space="preserve">no </w:t>
      </w:r>
      <w:r w:rsidR="009C00A6">
        <w:rPr>
          <w:rFonts w:cs="Arial"/>
        </w:rPr>
        <w:t xml:space="preserve">inside </w:t>
      </w:r>
      <w:r w:rsidRPr="004816F7">
        <w:rPr>
          <w:rFonts w:cs="Arial"/>
        </w:rPr>
        <w:t>information</w:t>
      </w:r>
      <w:r w:rsidR="009C00A6">
        <w:rPr>
          <w:rFonts w:cs="Arial"/>
        </w:rPr>
        <w:t xml:space="preserve"> is released by the issuance or buyback</w:t>
      </w:r>
      <w:r w:rsidR="0001223E">
        <w:rPr>
          <w:rFonts w:cs="Arial"/>
        </w:rPr>
        <w:t>)</w:t>
      </w:r>
      <w:r w:rsidR="009C00A6">
        <w:rPr>
          <w:rFonts w:cs="Arial"/>
        </w:rPr>
        <w:t xml:space="preserve">.  Why? </w:t>
      </w:r>
      <w:proofErr w:type="gramStart"/>
      <w:r w:rsidR="009C00A6">
        <w:rPr>
          <w:rFonts w:cs="Arial"/>
        </w:rPr>
        <w:t>Because the supply of stock with a given Beta is infinity.</w:t>
      </w:r>
      <w:proofErr w:type="gramEnd"/>
      <w:r w:rsidR="009C00A6">
        <w:rPr>
          <w:rFonts w:cs="Arial"/>
        </w:rPr>
        <w:t xml:space="preserve">  There </w:t>
      </w:r>
      <w:proofErr w:type="gramStart"/>
      <w:r w:rsidR="009C00A6">
        <w:rPr>
          <w:rFonts w:cs="Arial"/>
        </w:rPr>
        <w:t>is</w:t>
      </w:r>
      <w:proofErr w:type="gramEnd"/>
      <w:r w:rsidR="009C00A6">
        <w:rPr>
          <w:rFonts w:cs="Arial"/>
        </w:rPr>
        <w:t xml:space="preserve"> an infinite number of shares traded in the market place with the same Beta.</w:t>
      </w:r>
    </w:p>
    <w:p w:rsidR="00962FD4" w:rsidRDefault="00962FD4" w:rsidP="00962FD4">
      <w:pPr>
        <w:rPr>
          <w:rFonts w:ascii="Palatino-Italic" w:hAnsi="Palatino-Italic" w:cs="Palatino-Italic"/>
          <w:iCs/>
          <w:sz w:val="22"/>
          <w:szCs w:val="22"/>
        </w:rPr>
      </w:pPr>
    </w:p>
    <w:p w:rsidR="00962FD4" w:rsidRDefault="00962FD4" w:rsidP="00962FD4">
      <w:pPr>
        <w:rPr>
          <w:rFonts w:ascii="Palatino-Italic" w:hAnsi="Palatino-Italic" w:cs="Palatino-Italic"/>
          <w:iCs/>
          <w:sz w:val="22"/>
          <w:szCs w:val="22"/>
        </w:rPr>
      </w:pPr>
    </w:p>
    <w:p w:rsidR="00962FD4" w:rsidRDefault="00962FD4" w:rsidP="00962FD4">
      <w:pPr>
        <w:ind w:left="540" w:hanging="360"/>
        <w:rPr>
          <w:lang w:val="en-GB"/>
        </w:rPr>
      </w:pPr>
      <w:r>
        <w:rPr>
          <w:lang w:val="en-GB"/>
        </w:rPr>
        <w:t xml:space="preserve">9.  </w:t>
      </w:r>
      <w:r>
        <w:rPr>
          <w:lang w:val="en-GB"/>
        </w:rPr>
        <w:tab/>
      </w:r>
      <w:r>
        <w:rPr>
          <w:lang w:val="en-GB"/>
        </w:rPr>
        <w:tab/>
      </w:r>
      <w:proofErr w:type="gramStart"/>
      <w:r>
        <w:rPr>
          <w:lang w:val="en-GB"/>
        </w:rPr>
        <w:t>a</w:t>
      </w:r>
      <w:proofErr w:type="gramEnd"/>
      <w:r>
        <w:rPr>
          <w:lang w:val="en-GB"/>
        </w:rPr>
        <w:t xml:space="preserve">. </w:t>
      </w:r>
      <w:r>
        <w:rPr>
          <w:lang w:val="en-GB"/>
        </w:rPr>
        <w:tab/>
        <w:t xml:space="preserve">Evidence </w:t>
      </w:r>
      <w:proofErr w:type="gramStart"/>
      <w:r>
        <w:rPr>
          <w:lang w:val="en-GB"/>
        </w:rPr>
        <w:t>that</w:t>
      </w:r>
      <w:proofErr w:type="gramEnd"/>
      <w:r>
        <w:rPr>
          <w:lang w:val="en-GB"/>
        </w:rPr>
        <w:t xml:space="preserve"> two securities with identical cash flows (e.g. Royal Dutch </w:t>
      </w:r>
    </w:p>
    <w:p w:rsidR="00962FD4" w:rsidRDefault="00962FD4" w:rsidP="00962FD4">
      <w:pPr>
        <w:ind w:left="1260" w:firstLine="180"/>
        <w:rPr>
          <w:lang w:val="en-GB"/>
        </w:rPr>
      </w:pPr>
      <w:r>
        <w:rPr>
          <w:lang w:val="en-GB"/>
        </w:rPr>
        <w:t>Shell and Shell Transport &amp; Trading) can sell at different prices.</w:t>
      </w:r>
    </w:p>
    <w:p w:rsidR="00962FD4" w:rsidRDefault="00962FD4" w:rsidP="00962FD4">
      <w:pPr>
        <w:ind w:left="1260" w:firstLine="180"/>
        <w:rPr>
          <w:lang w:val="en-GB"/>
        </w:rPr>
      </w:pPr>
    </w:p>
    <w:p w:rsidR="00962FD4" w:rsidRDefault="00962FD4" w:rsidP="00962FD4">
      <w:pPr>
        <w:ind w:left="1440" w:hanging="720"/>
        <w:rPr>
          <w:lang w:val="en-GB"/>
        </w:rPr>
      </w:pPr>
      <w:r>
        <w:rPr>
          <w:lang w:val="en-GB"/>
        </w:rPr>
        <w:t xml:space="preserve">b. </w:t>
      </w:r>
      <w:r>
        <w:rPr>
          <w:lang w:val="en-GB"/>
        </w:rPr>
        <w:tab/>
        <w:t>Small-cap stocks and high book-to-market stocks appear to have given above-average returns for their level of risk.</w:t>
      </w:r>
    </w:p>
    <w:p w:rsidR="00962FD4" w:rsidRDefault="00962FD4" w:rsidP="00962FD4">
      <w:pPr>
        <w:ind w:left="1440" w:hanging="720"/>
        <w:rPr>
          <w:lang w:val="en-GB"/>
        </w:rPr>
      </w:pPr>
    </w:p>
    <w:p w:rsidR="00962FD4" w:rsidRDefault="00962FD4" w:rsidP="00962FD4">
      <w:pPr>
        <w:ind w:left="540" w:hanging="180"/>
        <w:rPr>
          <w:lang w:val="en-GB"/>
        </w:rPr>
      </w:pPr>
      <w:r>
        <w:rPr>
          <w:lang w:val="en-GB"/>
        </w:rPr>
        <w:t xml:space="preserve">  </w:t>
      </w:r>
      <w:r>
        <w:rPr>
          <w:lang w:val="en-GB"/>
        </w:rPr>
        <w:tab/>
      </w:r>
      <w:r>
        <w:rPr>
          <w:lang w:val="en-GB"/>
        </w:rPr>
        <w:tab/>
        <w:t xml:space="preserve">c. </w:t>
      </w:r>
      <w:r>
        <w:rPr>
          <w:lang w:val="en-GB"/>
        </w:rPr>
        <w:tab/>
        <w:t>IPOs provide relatively low returns after their first few days of trading.</w:t>
      </w:r>
    </w:p>
    <w:p w:rsidR="00962FD4" w:rsidRDefault="00962FD4" w:rsidP="00962FD4">
      <w:pPr>
        <w:ind w:left="540" w:hanging="180"/>
        <w:rPr>
          <w:lang w:val="en-GB"/>
        </w:rPr>
      </w:pPr>
    </w:p>
    <w:p w:rsidR="00962FD4" w:rsidRDefault="00962FD4" w:rsidP="00962FD4">
      <w:pPr>
        <w:ind w:left="540" w:hanging="180"/>
        <w:rPr>
          <w:lang w:val="en-GB"/>
        </w:rPr>
      </w:pPr>
      <w:r>
        <w:rPr>
          <w:lang w:val="en-GB"/>
        </w:rPr>
        <w:t xml:space="preserve">  </w:t>
      </w:r>
      <w:r>
        <w:rPr>
          <w:lang w:val="en-GB"/>
        </w:rPr>
        <w:tab/>
      </w:r>
      <w:r>
        <w:rPr>
          <w:lang w:val="en-GB"/>
        </w:rPr>
        <w:tab/>
        <w:t xml:space="preserve">d. </w:t>
      </w:r>
      <w:r>
        <w:rPr>
          <w:lang w:val="en-GB"/>
        </w:rPr>
        <w:tab/>
        <w:t xml:space="preserve">Stocks of firms that announce unexpectedly good earnings perform well </w:t>
      </w:r>
    </w:p>
    <w:p w:rsidR="00962FD4" w:rsidRDefault="00962FD4" w:rsidP="00962FD4">
      <w:pPr>
        <w:ind w:left="1260" w:firstLine="180"/>
        <w:rPr>
          <w:lang w:val="en-GB"/>
        </w:rPr>
      </w:pPr>
      <w:proofErr w:type="gramStart"/>
      <w:r>
        <w:rPr>
          <w:lang w:val="en-GB"/>
        </w:rPr>
        <w:t>over</w:t>
      </w:r>
      <w:proofErr w:type="gramEnd"/>
      <w:r>
        <w:rPr>
          <w:lang w:val="en-GB"/>
        </w:rPr>
        <w:t xml:space="preserve"> the coming months.</w:t>
      </w:r>
    </w:p>
    <w:p w:rsidR="00962FD4" w:rsidRDefault="00962FD4" w:rsidP="00962FD4">
      <w:pPr>
        <w:ind w:left="360" w:hanging="180"/>
        <w:rPr>
          <w:lang w:val="en-GB"/>
        </w:rPr>
      </w:pPr>
    </w:p>
    <w:p w:rsidR="00962FD4" w:rsidRDefault="00962FD4" w:rsidP="00962FD4">
      <w:pPr>
        <w:ind w:left="360" w:firstLine="360"/>
        <w:rPr>
          <w:lang w:val="en-GB"/>
        </w:rPr>
      </w:pPr>
      <w:r>
        <w:rPr>
          <w:lang w:val="en-GB"/>
        </w:rPr>
        <w:t>In each case there appear to have been opportunities for earning superior profits.</w:t>
      </w:r>
    </w:p>
    <w:p w:rsidR="00962FD4" w:rsidRDefault="00962FD4" w:rsidP="00962FD4">
      <w:pPr>
        <w:spacing w:line="220" w:lineRule="exact"/>
      </w:pPr>
    </w:p>
    <w:p w:rsidR="00962FD4" w:rsidRDefault="00962FD4" w:rsidP="00962FD4">
      <w:pPr>
        <w:spacing w:line="220" w:lineRule="exact"/>
      </w:pPr>
      <w:r>
        <w:br w:type="page"/>
      </w:r>
    </w:p>
    <w:p w:rsidR="00962FD4" w:rsidRDefault="00962FD4" w:rsidP="00962FD4">
      <w:pPr>
        <w:tabs>
          <w:tab w:val="left" w:pos="720"/>
        </w:tabs>
        <w:ind w:left="1440" w:hanging="1440"/>
      </w:pPr>
      <w:r>
        <w:lastRenderedPageBreak/>
        <w:t>10.</w:t>
      </w:r>
      <w:r>
        <w:tab/>
      </w:r>
      <w:proofErr w:type="gramStart"/>
      <w:r>
        <w:t>a</w:t>
      </w:r>
      <w:proofErr w:type="gramEnd"/>
      <w:r>
        <w:t>.</w:t>
      </w:r>
      <w:r>
        <w:tab/>
        <w:t xml:space="preserve">An individual </w:t>
      </w:r>
      <w:r>
        <w:rPr>
          <w:i/>
        </w:rPr>
        <w:t>can</w:t>
      </w:r>
      <w:r>
        <w:t xml:space="preserve"> do crazy things, but still not affect the efficiency of markets.  The price of the asset in an efficient market is a consensus price as well as a marginal price.  A nutty person </w:t>
      </w:r>
      <w:r w:rsidR="009F1B78">
        <w:t xml:space="preserve">may be willing to </w:t>
      </w:r>
      <w:r>
        <w:t xml:space="preserve">give </w:t>
      </w:r>
      <w:r w:rsidR="0001223E">
        <w:t xml:space="preserve">stocks/bonds </w:t>
      </w:r>
      <w:r>
        <w:t xml:space="preserve">away for free or </w:t>
      </w:r>
      <w:r w:rsidR="009F1B78">
        <w:t xml:space="preserve">willing to </w:t>
      </w:r>
      <w:r>
        <w:t xml:space="preserve">offer to pay twice the market value.  However, </w:t>
      </w:r>
      <w:r w:rsidR="009F1B78">
        <w:t>market exchanges have specialists that must maintain price stability i</w:t>
      </w:r>
      <w:r>
        <w:t>n efficie</w:t>
      </w:r>
      <w:r w:rsidR="009F1B78">
        <w:t>nt market</w:t>
      </w:r>
      <w:r w:rsidR="0001223E">
        <w:t>s</w:t>
      </w:r>
      <w:r w:rsidR="009F1B78">
        <w:t xml:space="preserve">, thereby protecting </w:t>
      </w:r>
      <w:r>
        <w:t>crazy investors</w:t>
      </w:r>
      <w:r w:rsidR="009F1B78">
        <w:t>.</w:t>
      </w:r>
      <w:r>
        <w:t xml:space="preserve">  Even if they trade in the market in an “irrational” manner, they can be </w:t>
      </w:r>
      <w:r w:rsidR="0001223E">
        <w:t xml:space="preserve">buy or sell at the current market price, which is </w:t>
      </w:r>
      <w:r>
        <w:t>a fair price since the price reflects all information.</w:t>
      </w:r>
    </w:p>
    <w:p w:rsidR="00962FD4" w:rsidRDefault="00962FD4" w:rsidP="00962FD4">
      <w:pPr>
        <w:spacing w:line="220" w:lineRule="exact"/>
      </w:pPr>
    </w:p>
    <w:p w:rsidR="00962FD4" w:rsidRDefault="00962FD4" w:rsidP="00962FD4">
      <w:pPr>
        <w:ind w:left="1440" w:hanging="720"/>
      </w:pPr>
      <w:proofErr w:type="gramStart"/>
      <w:r>
        <w:t>b.</w:t>
      </w:r>
      <w:r>
        <w:tab/>
        <w:t>Yes, and how many people have dropped a bundle?</w:t>
      </w:r>
      <w:proofErr w:type="gramEnd"/>
      <w:r>
        <w:t xml:space="preserve">  Or, more to the point, how many people have made a bundle only to lose it later? </w:t>
      </w:r>
      <w:r w:rsidR="00CC19A8">
        <w:t xml:space="preserve"> And how many people talk only about their gains, but do not talk about their losses.  In the short-run, </w:t>
      </w:r>
      <w:r>
        <w:t>People can be lucky and some people can be very lucky; efficient markets d</w:t>
      </w:r>
      <w:r w:rsidR="00CC19A8">
        <w:t xml:space="preserve">o not preclude this possibility, but in the long-run they eventually earn a fair return for the risk level at which they invest. </w:t>
      </w:r>
    </w:p>
    <w:p w:rsidR="00962FD4" w:rsidRDefault="00962FD4" w:rsidP="00962FD4">
      <w:pPr>
        <w:spacing w:line="220" w:lineRule="exact"/>
      </w:pPr>
    </w:p>
    <w:p w:rsidR="00962FD4" w:rsidRDefault="00962FD4" w:rsidP="00962FD4">
      <w:pPr>
        <w:pStyle w:val="BodyTextIndent3"/>
        <w:tabs>
          <w:tab w:val="clear" w:pos="720"/>
          <w:tab w:val="clear" w:pos="1440"/>
        </w:tabs>
        <w:ind w:hanging="720"/>
      </w:pPr>
      <w:r>
        <w:t>c.</w:t>
      </w:r>
      <w:r>
        <w:tab/>
        <w:t>Investor psychology is a slippery concept, more often than not used to explain price movements that the individual invoking it cannot personally explain.  Even if it exists, is there any way to make money from it?  If investor psychology drives up the price one day, will it do so the next day also?  Or will the price drop to a ‘true’ level?  Almost no one can tell you beforehand what ‘investor psychology’ will do.  Theories based on it have no content.</w:t>
      </w:r>
    </w:p>
    <w:p w:rsidR="00962FD4" w:rsidRDefault="00962FD4" w:rsidP="00962FD4">
      <w:pPr>
        <w:spacing w:line="220" w:lineRule="exact"/>
      </w:pPr>
    </w:p>
    <w:p w:rsidR="00962FD4" w:rsidRDefault="00962FD4" w:rsidP="00962FD4">
      <w:pPr>
        <w:pStyle w:val="BodyTextIndent3"/>
        <w:tabs>
          <w:tab w:val="clear" w:pos="720"/>
          <w:tab w:val="clear" w:pos="1440"/>
        </w:tabs>
        <w:ind w:hanging="720"/>
      </w:pPr>
      <w:r>
        <w:t>d.</w:t>
      </w:r>
      <w:r>
        <w:tab/>
        <w:t xml:space="preserve">What good is a stable </w:t>
      </w:r>
      <w:r w:rsidR="00CC19A8">
        <w:t>“</w:t>
      </w:r>
      <w:r>
        <w:t>value</w:t>
      </w:r>
      <w:r w:rsidR="00CC19A8">
        <w:t>”</w:t>
      </w:r>
      <w:r>
        <w:t xml:space="preserve"> when you can’t buy or sell at that value</w:t>
      </w:r>
      <w:r w:rsidR="00CC19A8">
        <w:t xml:space="preserve">? </w:t>
      </w:r>
      <w:r>
        <w:t xml:space="preserve"> </w:t>
      </w:r>
      <w:r w:rsidR="00CC19A8">
        <w:t xml:space="preserve">If it can’t be traded at that price, then it is artificial and not a true value. </w:t>
      </w:r>
      <w:r>
        <w:t xml:space="preserve">It is the market price, </w:t>
      </w:r>
      <w:r w:rsidR="00CC19A8">
        <w:t xml:space="preserve">which captures all available information, and </w:t>
      </w:r>
      <w:r>
        <w:t>the price at which you can buy or sell today</w:t>
      </w:r>
      <w:r w:rsidR="00CC19A8">
        <w:t xml:space="preserve"> that d</w:t>
      </w:r>
      <w:r>
        <w:t>etermines value.</w:t>
      </w:r>
    </w:p>
    <w:p w:rsidR="00962FD4" w:rsidRDefault="00962FD4" w:rsidP="00962FD4">
      <w:pPr>
        <w:spacing w:line="220" w:lineRule="exact"/>
      </w:pPr>
    </w:p>
    <w:p w:rsidR="00962FD4" w:rsidRDefault="00962FD4" w:rsidP="00962FD4">
      <w:pPr>
        <w:tabs>
          <w:tab w:val="left" w:pos="2325"/>
        </w:tabs>
        <w:spacing w:line="220" w:lineRule="exact"/>
      </w:pPr>
      <w:r>
        <w:tab/>
      </w:r>
    </w:p>
    <w:p w:rsidR="00962FD4" w:rsidRDefault="00962FD4" w:rsidP="00962FD4">
      <w:pPr>
        <w:pStyle w:val="BodyTextIndent3"/>
        <w:tabs>
          <w:tab w:val="clear" w:pos="1440"/>
        </w:tabs>
      </w:pPr>
      <w:r>
        <w:t>11.</w:t>
      </w:r>
      <w:r>
        <w:tab/>
        <w:t>a.</w:t>
      </w:r>
      <w:r>
        <w:tab/>
      </w:r>
      <w:proofErr w:type="gramStart"/>
      <w:r w:rsidR="00563A18">
        <w:t>Would</w:t>
      </w:r>
      <w:proofErr w:type="gramEnd"/>
      <w:r w:rsidR="00563A18">
        <w:t xml:space="preserve"> it be more fair if MBAs could be taught how to forecast future stock price movements?  Then, the rich (who could afford an MBA) could always get richer and the poor could never earn as much as the rich.  But if stock prices are random in the short-run and earn fair returns for risk levels in the long-run, then everyone who buys a well-diversified portfolio is better-off in the long-run.  It is a positive-sum game for everyone.</w:t>
      </w:r>
      <w:r>
        <w:t xml:space="preserve">  The random walk of values is </w:t>
      </w:r>
      <w:r w:rsidR="00563A18">
        <w:t xml:space="preserve">not </w:t>
      </w:r>
      <w:proofErr w:type="gramStart"/>
      <w:r w:rsidR="00563A18">
        <w:t>roulette,</w:t>
      </w:r>
      <w:proofErr w:type="gramEnd"/>
      <w:r w:rsidR="00563A18">
        <w:t xml:space="preserve"> it is simply </w:t>
      </w:r>
      <w:r>
        <w:t xml:space="preserve">the </w:t>
      </w:r>
      <w:r>
        <w:rPr>
          <w:i/>
        </w:rPr>
        <w:t>result</w:t>
      </w:r>
      <w:r>
        <w:t xml:space="preserve"> of rational investors </w:t>
      </w:r>
      <w:r w:rsidR="00C72282">
        <w:t xml:space="preserve">digesting new information that flows into the world </w:t>
      </w:r>
      <w:r w:rsidR="00563A18">
        <w:t xml:space="preserve">randomly. </w:t>
      </w:r>
    </w:p>
    <w:p w:rsidR="00962FD4" w:rsidRDefault="00962FD4" w:rsidP="00962FD4">
      <w:pPr>
        <w:pStyle w:val="BodyTextIndent3"/>
        <w:tabs>
          <w:tab w:val="clear" w:pos="720"/>
          <w:tab w:val="clear" w:pos="1440"/>
        </w:tabs>
        <w:ind w:hanging="720"/>
      </w:pPr>
    </w:p>
    <w:p w:rsidR="00962FD4" w:rsidRDefault="00962FD4" w:rsidP="00962FD4">
      <w:pPr>
        <w:pStyle w:val="BodyTextIndent3"/>
        <w:tabs>
          <w:tab w:val="clear" w:pos="720"/>
          <w:tab w:val="clear" w:pos="1440"/>
        </w:tabs>
        <w:ind w:hanging="720"/>
      </w:pPr>
      <w:r>
        <w:t>b.</w:t>
      </w:r>
      <w:r>
        <w:tab/>
        <w:t xml:space="preserve">To make the example clearer, assume that everyone believes in the same chart.  What happens when the chart shows a downward movement?  Are investors going to be willing to hold the stock when it has an expected loss?  </w:t>
      </w:r>
      <w:proofErr w:type="gramStart"/>
      <w:r>
        <w:t>Of course not.</w:t>
      </w:r>
      <w:proofErr w:type="gramEnd"/>
      <w:r>
        <w:t xml:space="preserve">  They start selling, and the price will decline until the stock is expected to give a positive return.  The </w:t>
      </w:r>
      <w:proofErr w:type="gramStart"/>
      <w:r>
        <w:t>trend will</w:t>
      </w:r>
      <w:proofErr w:type="gramEnd"/>
      <w:r>
        <w:t xml:space="preserve"> ‘self-destruct.’</w:t>
      </w:r>
    </w:p>
    <w:p w:rsidR="00962FD4"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ind w:hanging="720"/>
      </w:pPr>
      <w:r>
        <w:br w:type="page"/>
      </w:r>
      <w:r>
        <w:lastRenderedPageBreak/>
        <w:t>c.</w:t>
      </w:r>
      <w:r>
        <w:tab/>
        <w:t xml:space="preserve">Random-walk theory as applied to efficient markets means that fluctuations from the </w:t>
      </w:r>
      <w:r>
        <w:rPr>
          <w:i/>
        </w:rPr>
        <w:t>expected</w:t>
      </w:r>
      <w:r>
        <w:t xml:space="preserve"> outcome are random.  Suppose there is an 80 percent chance of rain tomorrow (because it rained today).  Then the local umbrella store’s stock price will respond </w:t>
      </w:r>
      <w:r>
        <w:rPr>
          <w:i/>
        </w:rPr>
        <w:t>today</w:t>
      </w:r>
      <w:r>
        <w:t xml:space="preserve"> to the </w:t>
      </w:r>
      <w:r w:rsidR="00563A18">
        <w:t xml:space="preserve">expected </w:t>
      </w:r>
      <w:r>
        <w:t xml:space="preserve">prospect of high </w:t>
      </w:r>
      <w:r w:rsidR="00041870">
        <w:t xml:space="preserve">umbrella </w:t>
      </w:r>
      <w:r>
        <w:t xml:space="preserve">sales tomorrow.  The store’s </w:t>
      </w:r>
      <w:r w:rsidR="00041870">
        <w:t xml:space="preserve">umbrella </w:t>
      </w:r>
      <w:r>
        <w:rPr>
          <w:i/>
        </w:rPr>
        <w:t>sales</w:t>
      </w:r>
      <w:r>
        <w:t xml:space="preserve"> will not follow a random walk, but its stock price will</w:t>
      </w:r>
      <w:r w:rsidR="00563A18">
        <w:t xml:space="preserve"> be random</w:t>
      </w:r>
      <w:r>
        <w:t xml:space="preserve">, because each day the stock price </w:t>
      </w:r>
      <w:r w:rsidR="00563A18">
        <w:t>changes in response to the succ</w:t>
      </w:r>
      <w:r w:rsidR="00041870">
        <w:t xml:space="preserve">ess or failure in meeting </w:t>
      </w:r>
      <w:r w:rsidR="00563A18">
        <w:t xml:space="preserve">expected </w:t>
      </w:r>
      <w:r w:rsidR="00041870">
        <w:t xml:space="preserve">umbrella </w:t>
      </w:r>
      <w:r w:rsidR="00563A18">
        <w:t xml:space="preserve">sales.  </w:t>
      </w:r>
    </w:p>
    <w:p w:rsidR="00962FD4"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spacing w:after="60"/>
        <w:ind w:left="720" w:hanging="720"/>
      </w:pPr>
      <w:r>
        <w:t>12.</w:t>
      </w:r>
      <w:r>
        <w:tab/>
        <w:t>One of the ways to think about market inefficiency is that it implies there is easy money to be made.  The following appear to suggest market inefficiency:</w:t>
      </w:r>
    </w:p>
    <w:p w:rsidR="00426D9B" w:rsidRDefault="005806B6" w:rsidP="00962FD4">
      <w:pPr>
        <w:pStyle w:val="BodyTextIndent3"/>
        <w:tabs>
          <w:tab w:val="clear" w:pos="720"/>
          <w:tab w:val="clear" w:pos="1440"/>
        </w:tabs>
        <w:spacing w:after="60"/>
        <w:ind w:left="720" w:hanging="720"/>
      </w:pPr>
      <w:r>
        <w:tab/>
      </w:r>
      <w:r>
        <w:tab/>
        <w:t xml:space="preserve">(a)  </w:t>
      </w:r>
      <w:proofErr w:type="gramStart"/>
      <w:r>
        <w:t>efficient</w:t>
      </w:r>
      <w:proofErr w:type="gramEnd"/>
      <w:r>
        <w:t xml:space="preserve">,  weak and semi-strong.  Most </w:t>
      </w:r>
      <w:proofErr w:type="gramStart"/>
      <w:r>
        <w:t>investors,</w:t>
      </w:r>
      <w:proofErr w:type="gramEnd"/>
      <w:r>
        <w:t xml:space="preserve"> and certainly all </w:t>
      </w:r>
    </w:p>
    <w:p w:rsidR="00426D9B" w:rsidRDefault="00426D9B" w:rsidP="00962FD4">
      <w:pPr>
        <w:pStyle w:val="BodyTextIndent3"/>
        <w:tabs>
          <w:tab w:val="clear" w:pos="720"/>
          <w:tab w:val="clear" w:pos="1440"/>
        </w:tabs>
        <w:spacing w:after="60"/>
        <w:ind w:left="720" w:hanging="720"/>
      </w:pPr>
      <w:r>
        <w:tab/>
      </w:r>
      <w:r>
        <w:tab/>
        <w:t xml:space="preserve">      </w:t>
      </w:r>
      <w:proofErr w:type="gramStart"/>
      <w:r w:rsidR="005806B6">
        <w:t>marginal</w:t>
      </w:r>
      <w:proofErr w:type="gramEnd"/>
      <w:r w:rsidR="005806B6">
        <w:t xml:space="preserve"> investors know that muni bond yields reflect their tax-exempt </w:t>
      </w:r>
    </w:p>
    <w:p w:rsidR="005806B6" w:rsidRDefault="00426D9B" w:rsidP="00962FD4">
      <w:pPr>
        <w:pStyle w:val="BodyTextIndent3"/>
        <w:tabs>
          <w:tab w:val="clear" w:pos="720"/>
          <w:tab w:val="clear" w:pos="1440"/>
        </w:tabs>
        <w:spacing w:after="60"/>
        <w:ind w:left="720" w:hanging="720"/>
      </w:pPr>
      <w:r>
        <w:tab/>
      </w:r>
      <w:r>
        <w:tab/>
        <w:t xml:space="preserve">      </w:t>
      </w:r>
      <w:proofErr w:type="gramStart"/>
      <w:r w:rsidR="005806B6">
        <w:t>status</w:t>
      </w:r>
      <w:proofErr w:type="gramEnd"/>
      <w:r w:rsidR="005806B6">
        <w:t>.</w:t>
      </w:r>
    </w:p>
    <w:p w:rsidR="00426D9B" w:rsidRDefault="005806B6" w:rsidP="00426D9B">
      <w:pPr>
        <w:pStyle w:val="BodyTextIndent3"/>
        <w:numPr>
          <w:ilvl w:val="0"/>
          <w:numId w:val="5"/>
        </w:numPr>
        <w:tabs>
          <w:tab w:val="clear" w:pos="720"/>
          <w:tab w:val="clear" w:pos="1440"/>
        </w:tabs>
      </w:pPr>
      <w:r>
        <w:t xml:space="preserve"> </w:t>
      </w:r>
      <w:proofErr w:type="gramStart"/>
      <w:r w:rsidR="00962FD4">
        <w:t>strong</w:t>
      </w:r>
      <w:proofErr w:type="gramEnd"/>
      <w:r w:rsidR="00962FD4">
        <w:t xml:space="preserve"> form</w:t>
      </w:r>
      <w:r w:rsidR="00426D9B">
        <w:t>, inefficient.  They may go to jail, but they can earn excess returns because they have inside information.</w:t>
      </w:r>
    </w:p>
    <w:p w:rsidR="00962FD4" w:rsidRDefault="00426D9B" w:rsidP="005806B6">
      <w:pPr>
        <w:pStyle w:val="BodyTextIndent3"/>
        <w:numPr>
          <w:ilvl w:val="0"/>
          <w:numId w:val="5"/>
        </w:numPr>
        <w:tabs>
          <w:tab w:val="clear" w:pos="720"/>
          <w:tab w:val="clear" w:pos="1440"/>
        </w:tabs>
      </w:pPr>
      <w:r>
        <w:t>Semi-strong, efficient.  The market is the best forecast of future corporate performance (i.e. profits)</w:t>
      </w:r>
    </w:p>
    <w:p w:rsidR="005806B6" w:rsidRDefault="005806B6" w:rsidP="005806B6">
      <w:pPr>
        <w:pStyle w:val="BodyTextIndent3"/>
        <w:tabs>
          <w:tab w:val="clear" w:pos="720"/>
          <w:tab w:val="clear" w:pos="1440"/>
        </w:tabs>
        <w:ind w:firstLine="0"/>
      </w:pPr>
      <w:r>
        <w:t>(d)</w:t>
      </w:r>
      <w:r w:rsidR="00426D9B">
        <w:t xml:space="preserve">  </w:t>
      </w:r>
      <w:proofErr w:type="gramStart"/>
      <w:r w:rsidR="00426D9B">
        <w:t>weak</w:t>
      </w:r>
      <w:proofErr w:type="gramEnd"/>
      <w:r w:rsidR="00426D9B">
        <w:t xml:space="preserve"> form, inefficient.  Past trends do not forecast future trends.</w:t>
      </w:r>
    </w:p>
    <w:p w:rsidR="005806B6" w:rsidRDefault="005806B6" w:rsidP="00426D9B">
      <w:pPr>
        <w:pStyle w:val="BodyTextIndent3"/>
        <w:tabs>
          <w:tab w:val="clear" w:pos="720"/>
          <w:tab w:val="clear" w:pos="1440"/>
        </w:tabs>
        <w:ind w:left="1890" w:hanging="450"/>
      </w:pPr>
      <w:r>
        <w:t>(e)</w:t>
      </w:r>
      <w:r w:rsidR="00426D9B">
        <w:t xml:space="preserve">  </w:t>
      </w:r>
      <w:proofErr w:type="gramStart"/>
      <w:r w:rsidR="00426D9B">
        <w:t>strong</w:t>
      </w:r>
      <w:proofErr w:type="gramEnd"/>
      <w:r w:rsidR="00426D9B">
        <w:t xml:space="preserve"> form, efficient.  The market is pricing the merger (which is inside information) before the information is released.</w:t>
      </w:r>
    </w:p>
    <w:p w:rsidR="00426D9B" w:rsidRDefault="00426D9B" w:rsidP="00426D9B">
      <w:pPr>
        <w:pStyle w:val="BodyTextIndent3"/>
        <w:tabs>
          <w:tab w:val="clear" w:pos="720"/>
          <w:tab w:val="clear" w:pos="1440"/>
        </w:tabs>
        <w:ind w:left="1890" w:hanging="450"/>
      </w:pPr>
      <w:r>
        <w:t>(f)</w:t>
      </w:r>
      <w:r>
        <w:tab/>
      </w:r>
      <w:proofErr w:type="gramStart"/>
      <w:r>
        <w:t>weak</w:t>
      </w:r>
      <w:proofErr w:type="gramEnd"/>
      <w:r>
        <w:t xml:space="preserve"> form,  inefficient. past information cannot forecast future prices. </w:t>
      </w:r>
    </w:p>
    <w:p w:rsidR="00962FD4" w:rsidRDefault="00426D9B" w:rsidP="00426D9B">
      <w:pPr>
        <w:pStyle w:val="BodyTextIndent3"/>
        <w:tabs>
          <w:tab w:val="clear" w:pos="720"/>
          <w:tab w:val="clear" w:pos="1440"/>
        </w:tabs>
        <w:ind w:left="1890" w:hanging="450"/>
      </w:pPr>
      <w:r>
        <w:t xml:space="preserve">(g)   </w:t>
      </w:r>
      <w:proofErr w:type="gramStart"/>
      <w:r>
        <w:t>se</w:t>
      </w:r>
      <w:r w:rsidR="00962FD4">
        <w:t>mi-strong</w:t>
      </w:r>
      <w:proofErr w:type="gramEnd"/>
      <w:r w:rsidR="00962FD4">
        <w:t xml:space="preserve"> form</w:t>
      </w:r>
      <w:r>
        <w:t xml:space="preserve">, efficient.  All marginal investors understand that returns are associated with Beta, and not total variance. </w:t>
      </w:r>
    </w:p>
    <w:p w:rsidR="00962FD4"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spacing w:after="120"/>
        <w:ind w:left="720" w:hanging="720"/>
      </w:pPr>
      <w:r>
        <w:t>13.</w:t>
      </w:r>
      <w:r>
        <w:tab/>
        <w:t>The estimates are first substituted in the market model.  Then the result from this expected return equation is subtracted from the actual return for the month to obtain the abnormal return.</w:t>
      </w:r>
    </w:p>
    <w:p w:rsidR="00962FD4" w:rsidRDefault="00962FD4" w:rsidP="00962FD4">
      <w:pPr>
        <w:pStyle w:val="BodyTextIndent3"/>
        <w:tabs>
          <w:tab w:val="clear" w:pos="720"/>
          <w:tab w:val="clear" w:pos="1440"/>
        </w:tabs>
        <w:spacing w:after="120"/>
        <w:ind w:right="-720" w:hanging="4"/>
      </w:pPr>
      <w:r>
        <w:t xml:space="preserve">Abnormal return (Intel) = Actual return </w:t>
      </w:r>
      <w:r>
        <w:rPr>
          <w:rFonts w:cs="Arial"/>
        </w:rPr>
        <w:t>–</w:t>
      </w:r>
      <w:r>
        <w:t xml:space="preserve"> [(</w:t>
      </w:r>
      <w:r>
        <w:rPr>
          <w:rFonts w:cs="Arial"/>
        </w:rPr>
        <w:t>−0</w:t>
      </w:r>
      <w:r>
        <w:t xml:space="preserve">.57) + (1.08 </w:t>
      </w:r>
      <w:r>
        <w:sym w:font="Symbol" w:char="F0B4"/>
      </w:r>
      <w:r>
        <w:t xml:space="preserve"> Market return)]</w:t>
      </w:r>
    </w:p>
    <w:p w:rsidR="00962FD4" w:rsidRDefault="00962FD4" w:rsidP="00962FD4">
      <w:pPr>
        <w:pStyle w:val="BodyTextIndent3"/>
        <w:tabs>
          <w:tab w:val="clear" w:pos="720"/>
          <w:tab w:val="clear" w:pos="1440"/>
        </w:tabs>
        <w:ind w:right="-720" w:hanging="4"/>
      </w:pPr>
      <w:r>
        <w:tab/>
        <w:t>Abnormal return (</w:t>
      </w:r>
      <w:proofErr w:type="spellStart"/>
      <w:r>
        <w:t>Conagra</w:t>
      </w:r>
      <w:proofErr w:type="spellEnd"/>
      <w:r>
        <w:t xml:space="preserve">) = Actual return </w:t>
      </w:r>
      <w:r>
        <w:rPr>
          <w:rFonts w:cs="Arial"/>
        </w:rPr>
        <w:t>–</w:t>
      </w:r>
      <w:r>
        <w:t xml:space="preserve"> [(-0.46) + (0.65 </w:t>
      </w:r>
      <w:r>
        <w:sym w:font="Symbol" w:char="F0B4"/>
      </w:r>
      <w:r>
        <w:t xml:space="preserve"> Market return)]</w:t>
      </w:r>
    </w:p>
    <w:p w:rsidR="00962FD4"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ind w:left="720" w:hanging="720"/>
      </w:pPr>
      <w:r>
        <w:t>14.</w:t>
      </w:r>
      <w:r>
        <w:tab/>
        <w:t>The efficient market hypothesis does not imply that portfolio selection should be done with a pin.  The manager still has three important jobs to do.  First, she must make sure that the portfolio is well diversified.  It should be noted that a large number of stocks is not enough to ensure diversification.  Second, she must make sure that the risk of the diversified portfolio is appropriate for the manager’s clients.  Third, she might want to tailor the portfolio to take advantage of special tax laws for pension funds.  These laws may make it possible to increase the expected return of the portfolio without increasing risk.</w:t>
      </w:r>
    </w:p>
    <w:p w:rsidR="00962FD4"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ind w:left="720" w:hanging="720"/>
      </w:pPr>
      <w:r>
        <w:lastRenderedPageBreak/>
        <w:t>15.</w:t>
      </w:r>
      <w:r>
        <w:tab/>
        <w:t>They are both under the illusion that markets are predictable and they are wasting their time trying to guess the market’s direction.  Remember the first lesson of market efficiency: Markets have no memory.  The decision as to when to issue stock should be made without reference to ‘market cycles.’</w:t>
      </w:r>
    </w:p>
    <w:p w:rsidR="00962FD4"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ind w:left="0" w:firstLine="0"/>
      </w:pPr>
      <w:r>
        <w:br w:type="page"/>
      </w:r>
    </w:p>
    <w:p w:rsidR="00962FD4" w:rsidRDefault="00962FD4" w:rsidP="00962FD4">
      <w:pPr>
        <w:pStyle w:val="BodyTextIndent3"/>
        <w:tabs>
          <w:tab w:val="clear" w:pos="720"/>
          <w:tab w:val="clear" w:pos="1440"/>
        </w:tabs>
        <w:spacing w:after="120"/>
        <w:ind w:left="720" w:hanging="720"/>
      </w:pPr>
      <w:r>
        <w:lastRenderedPageBreak/>
        <w:t>16.</w:t>
      </w:r>
      <w:r>
        <w:tab/>
        <w:t>The efficient-market hypothesis says that there is no easy way to make money.  Thus, when such an opportunity seems to present itself, we should be very skeptical.  For example:</w:t>
      </w:r>
    </w:p>
    <w:p w:rsidR="00962FD4" w:rsidRDefault="00962FD4" w:rsidP="00962FD4">
      <w:pPr>
        <w:pStyle w:val="BodyTextIndent3"/>
        <w:numPr>
          <w:ilvl w:val="0"/>
          <w:numId w:val="2"/>
        </w:numPr>
        <w:tabs>
          <w:tab w:val="clear" w:pos="360"/>
          <w:tab w:val="clear" w:pos="720"/>
          <w:tab w:val="clear" w:pos="1440"/>
        </w:tabs>
        <w:spacing w:after="120"/>
        <w:ind w:left="1080"/>
      </w:pPr>
      <w:r>
        <w:t>In the case of short- versus long-term rates, and borrowing short-term versus long-term, there are different risks involved.  For example, suppose that we need the money long-term but we borrow short-term.  When the short-term note is due, we must somehow refinance.  However; this may not be possible, or may be possible only at a very high interest rate.</w:t>
      </w:r>
    </w:p>
    <w:p w:rsidR="00962FD4" w:rsidRDefault="00962FD4" w:rsidP="00962FD4">
      <w:pPr>
        <w:pStyle w:val="BodyTextIndent3"/>
        <w:numPr>
          <w:ilvl w:val="0"/>
          <w:numId w:val="2"/>
        </w:numPr>
        <w:tabs>
          <w:tab w:val="clear" w:pos="360"/>
          <w:tab w:val="clear" w:pos="720"/>
          <w:tab w:val="clear" w:pos="1440"/>
        </w:tabs>
        <w:ind w:left="1080"/>
      </w:pPr>
      <w:r>
        <w:t xml:space="preserve">In the case of Japanese versus </w:t>
      </w:r>
      <w:smartTag w:uri="urn:schemas-microsoft-com:office:smarttags" w:element="place">
        <w:smartTag w:uri="urn:schemas-microsoft-com:office:smarttags" w:element="country-region">
          <w:r>
            <w:t>United States</w:t>
          </w:r>
        </w:smartTag>
      </w:smartTag>
      <w:r>
        <w:t xml:space="preserve"> interest rates, there is the risk that the Japanese yen - U.S. dollar exchange rate will change during the period of time for which we have borrowed.</w:t>
      </w:r>
    </w:p>
    <w:p w:rsidR="00962FD4"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ind w:left="720" w:hanging="720"/>
      </w:pPr>
      <w:r>
        <w:t xml:space="preserve">17. </w:t>
      </w:r>
      <w:r>
        <w:tab/>
        <w:t>This does present some evidence against the efficient capital market hypothesis. One key to market efficiency is the high level of competition among participants in the market.  For small stocks, the level of competition is relatively low because major market participants (e.g., mutual funds and pension funds) are biased toward holding the securities of larger, well-known companies.  Thus, it is plausible that the market for small stocks is fundamentally different from the market for larger stocks and, hence, that the small-firm effect is simply a reflection of market inefficiency.</w:t>
      </w:r>
    </w:p>
    <w:p w:rsidR="00962FD4" w:rsidRDefault="00962FD4" w:rsidP="00962FD4">
      <w:pPr>
        <w:pStyle w:val="BodyTextIndent3"/>
        <w:tabs>
          <w:tab w:val="clear" w:pos="720"/>
          <w:tab w:val="clear" w:pos="1440"/>
        </w:tabs>
        <w:ind w:left="720" w:hanging="720"/>
      </w:pPr>
    </w:p>
    <w:p w:rsidR="00962FD4" w:rsidRDefault="00962FD4" w:rsidP="00962FD4">
      <w:pPr>
        <w:pStyle w:val="BodyTextIndent3"/>
        <w:tabs>
          <w:tab w:val="clear" w:pos="720"/>
          <w:tab w:val="clear" w:pos="1440"/>
        </w:tabs>
        <w:ind w:left="720" w:firstLine="0"/>
      </w:pPr>
      <w:r>
        <w:t>But there are at least two alternative possibilities. First, this difference might just be coincidental. In statistical inference, we never prove an affirmative fact.  The best we can do is to accept or reject a specified hypothesis with a given degree of confidence.  Thus, no matter what the outcome of a statistical test, there is always a possibility, however slight, that the small-firm effect is simply the result of statistical chance.</w:t>
      </w:r>
    </w:p>
    <w:p w:rsidR="00962FD4" w:rsidRDefault="00962FD4" w:rsidP="00962FD4">
      <w:pPr>
        <w:pStyle w:val="BodyTextIndent3"/>
        <w:tabs>
          <w:tab w:val="clear" w:pos="720"/>
          <w:tab w:val="clear" w:pos="1440"/>
        </w:tabs>
        <w:ind w:left="720" w:firstLine="0"/>
      </w:pPr>
    </w:p>
    <w:p w:rsidR="00962FD4" w:rsidRDefault="00962FD4" w:rsidP="00962FD4">
      <w:pPr>
        <w:pStyle w:val="BodyTextIndent3"/>
        <w:tabs>
          <w:tab w:val="clear" w:pos="720"/>
          <w:tab w:val="clear" w:pos="1440"/>
        </w:tabs>
        <w:ind w:left="720" w:firstLine="0"/>
      </w:pPr>
      <w:r>
        <w:t>Second, firms with small market capitalization may contain some type of additional risk that is not measured in the studies. Given the information available and the number of participants, it is hard to believe that any securities market in the U.S is not very efficient. Thus, the most likely explanation for the small-firm effect is that the model used to estimate expected returns is incorrect, and that there is some as-yet-unidentified risk factor.</w:t>
      </w:r>
    </w:p>
    <w:p w:rsidR="00962FD4"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spacing w:after="120"/>
        <w:ind w:left="720" w:hanging="720"/>
      </w:pPr>
      <w:r>
        <w:t>18.</w:t>
      </w:r>
      <w:r>
        <w:tab/>
        <w:t>There are several ways to approach this problem, but all (when done correctly!) should give approximately the same answer.  We have chosen to use the regression analysis function of an electronic spreadsheet program to calculate the alpha and beta for each security.  The regressions are in the following form:</w:t>
      </w:r>
    </w:p>
    <w:p w:rsidR="00962FD4" w:rsidRDefault="00962FD4" w:rsidP="00962FD4">
      <w:pPr>
        <w:pStyle w:val="BodyTextIndent3"/>
        <w:tabs>
          <w:tab w:val="clear" w:pos="720"/>
          <w:tab w:val="clear" w:pos="1440"/>
        </w:tabs>
        <w:spacing w:after="120"/>
        <w:ind w:firstLine="0"/>
      </w:pPr>
      <w:r>
        <w:t xml:space="preserve">Security return = alpha + (beta </w:t>
      </w:r>
      <w:r>
        <w:sym w:font="Symbol" w:char="F0B4"/>
      </w:r>
      <w:r>
        <w:t xml:space="preserve"> market return) + error term</w:t>
      </w:r>
    </w:p>
    <w:p w:rsidR="00962FD4" w:rsidRDefault="00962FD4" w:rsidP="00962FD4">
      <w:pPr>
        <w:pStyle w:val="BodyTextIndent3"/>
        <w:tabs>
          <w:tab w:val="clear" w:pos="720"/>
          <w:tab w:val="clear" w:pos="1440"/>
        </w:tabs>
        <w:ind w:left="720" w:firstLine="0"/>
      </w:pPr>
      <w:r>
        <w:br w:type="page"/>
      </w:r>
      <w:r>
        <w:lastRenderedPageBreak/>
        <w:t>The results are:</w:t>
      </w:r>
    </w:p>
    <w:tbl>
      <w:tblPr>
        <w:tblW w:w="0" w:type="auto"/>
        <w:tblInd w:w="1548" w:type="dxa"/>
        <w:tblBorders>
          <w:top w:val="nil"/>
          <w:left w:val="nil"/>
          <w:bottom w:val="nil"/>
          <w:right w:val="nil"/>
          <w:insideH w:val="nil"/>
          <w:insideV w:val="nil"/>
        </w:tblBorders>
        <w:tblLayout w:type="fixed"/>
        <w:tblLook w:val="00BE" w:firstRow="1" w:lastRow="0" w:firstColumn="1" w:lastColumn="0" w:noHBand="0" w:noVBand="0"/>
      </w:tblPr>
      <w:tblGrid>
        <w:gridCol w:w="2351"/>
        <w:gridCol w:w="1434"/>
        <w:gridCol w:w="1434"/>
      </w:tblGrid>
      <w:tr w:rsidR="00962FD4" w:rsidTr="00AE1096">
        <w:trPr>
          <w:cantSplit/>
        </w:trPr>
        <w:tc>
          <w:tcPr>
            <w:tcW w:w="2351" w:type="dxa"/>
          </w:tcPr>
          <w:p w:rsidR="00962FD4" w:rsidRDefault="00962FD4" w:rsidP="00AE1096">
            <w:pPr>
              <w:pStyle w:val="BodyTextIndent3"/>
              <w:tabs>
                <w:tab w:val="clear" w:pos="720"/>
                <w:tab w:val="clear" w:pos="1440"/>
              </w:tabs>
              <w:ind w:left="0" w:firstLine="0"/>
            </w:pPr>
          </w:p>
        </w:tc>
        <w:tc>
          <w:tcPr>
            <w:tcW w:w="1434" w:type="dxa"/>
          </w:tcPr>
          <w:p w:rsidR="00962FD4" w:rsidRDefault="00962FD4" w:rsidP="00AE1096">
            <w:pPr>
              <w:pStyle w:val="BodyTextIndent3"/>
              <w:tabs>
                <w:tab w:val="clear" w:pos="720"/>
                <w:tab w:val="clear" w:pos="1440"/>
              </w:tabs>
              <w:ind w:left="0" w:firstLine="0"/>
              <w:jc w:val="center"/>
              <w:rPr>
                <w:u w:val="single"/>
              </w:rPr>
            </w:pPr>
            <w:r>
              <w:rPr>
                <w:u w:val="single"/>
              </w:rPr>
              <w:t>Alpha</w:t>
            </w:r>
          </w:p>
        </w:tc>
        <w:tc>
          <w:tcPr>
            <w:tcW w:w="1434" w:type="dxa"/>
          </w:tcPr>
          <w:p w:rsidR="00962FD4" w:rsidRDefault="00962FD4" w:rsidP="00AE1096">
            <w:pPr>
              <w:pStyle w:val="BodyTextIndent3"/>
              <w:tabs>
                <w:tab w:val="clear" w:pos="720"/>
                <w:tab w:val="clear" w:pos="1440"/>
              </w:tabs>
              <w:ind w:left="0" w:firstLine="0"/>
              <w:jc w:val="center"/>
              <w:rPr>
                <w:u w:val="single"/>
              </w:rPr>
            </w:pPr>
            <w:r>
              <w:rPr>
                <w:u w:val="single"/>
              </w:rPr>
              <w:t>Beta</w:t>
            </w:r>
          </w:p>
        </w:tc>
      </w:tr>
      <w:tr w:rsidR="00962FD4" w:rsidTr="00AE1096">
        <w:trPr>
          <w:cantSplit/>
        </w:trPr>
        <w:tc>
          <w:tcPr>
            <w:tcW w:w="2351" w:type="dxa"/>
          </w:tcPr>
          <w:p w:rsidR="00962FD4" w:rsidRDefault="00962FD4" w:rsidP="00AE1096">
            <w:pPr>
              <w:pStyle w:val="BodyTextIndent3"/>
              <w:tabs>
                <w:tab w:val="clear" w:pos="720"/>
                <w:tab w:val="clear" w:pos="1440"/>
              </w:tabs>
              <w:ind w:left="0" w:firstLine="0"/>
            </w:pPr>
            <w:r>
              <w:t>Executive Cheese</w:t>
            </w:r>
          </w:p>
        </w:tc>
        <w:tc>
          <w:tcPr>
            <w:tcW w:w="1434" w:type="dxa"/>
          </w:tcPr>
          <w:p w:rsidR="00962FD4" w:rsidRDefault="00962FD4" w:rsidP="00AE1096">
            <w:pPr>
              <w:pStyle w:val="BodyTextIndent3"/>
              <w:tabs>
                <w:tab w:val="clear" w:pos="720"/>
                <w:tab w:val="clear" w:pos="1440"/>
                <w:tab w:val="decimal" w:pos="511"/>
              </w:tabs>
              <w:ind w:left="0" w:firstLine="0"/>
            </w:pPr>
            <w:r>
              <w:t>0.803</w:t>
            </w:r>
          </w:p>
        </w:tc>
        <w:tc>
          <w:tcPr>
            <w:tcW w:w="1434" w:type="dxa"/>
          </w:tcPr>
          <w:p w:rsidR="00962FD4" w:rsidRDefault="00962FD4" w:rsidP="00AE1096">
            <w:pPr>
              <w:pStyle w:val="BodyTextIndent3"/>
              <w:tabs>
                <w:tab w:val="clear" w:pos="720"/>
                <w:tab w:val="clear" w:pos="1440"/>
                <w:tab w:val="decimal" w:pos="511"/>
              </w:tabs>
              <w:ind w:left="0" w:firstLine="0"/>
            </w:pPr>
            <w:r>
              <w:t>0.956</w:t>
            </w:r>
          </w:p>
        </w:tc>
      </w:tr>
      <w:tr w:rsidR="00962FD4" w:rsidTr="00AE1096">
        <w:trPr>
          <w:cantSplit/>
        </w:trPr>
        <w:tc>
          <w:tcPr>
            <w:tcW w:w="2351" w:type="dxa"/>
          </w:tcPr>
          <w:p w:rsidR="00962FD4" w:rsidRDefault="00962FD4" w:rsidP="00AE1096">
            <w:pPr>
              <w:pStyle w:val="BodyTextIndent3"/>
              <w:tabs>
                <w:tab w:val="clear" w:pos="720"/>
                <w:tab w:val="clear" w:pos="1440"/>
              </w:tabs>
              <w:ind w:left="0" w:firstLine="0"/>
            </w:pPr>
            <w:r>
              <w:t>Paddington Beer</w:t>
            </w:r>
          </w:p>
        </w:tc>
        <w:tc>
          <w:tcPr>
            <w:tcW w:w="1434" w:type="dxa"/>
          </w:tcPr>
          <w:p w:rsidR="00962FD4" w:rsidRDefault="00962FD4" w:rsidP="00AE1096">
            <w:pPr>
              <w:pStyle w:val="BodyTextIndent3"/>
              <w:tabs>
                <w:tab w:val="clear" w:pos="720"/>
                <w:tab w:val="clear" w:pos="1440"/>
                <w:tab w:val="decimal" w:pos="511"/>
              </w:tabs>
              <w:ind w:left="0" w:firstLine="0"/>
            </w:pPr>
            <w:r>
              <w:t>-0.834</w:t>
            </w:r>
          </w:p>
        </w:tc>
        <w:tc>
          <w:tcPr>
            <w:tcW w:w="1434" w:type="dxa"/>
          </w:tcPr>
          <w:p w:rsidR="00962FD4" w:rsidRDefault="00962FD4" w:rsidP="00AE1096">
            <w:pPr>
              <w:pStyle w:val="BodyTextIndent3"/>
              <w:tabs>
                <w:tab w:val="clear" w:pos="720"/>
                <w:tab w:val="clear" w:pos="1440"/>
                <w:tab w:val="decimal" w:pos="511"/>
              </w:tabs>
              <w:ind w:left="0" w:firstLine="0"/>
            </w:pPr>
            <w:r>
              <w:t>0.730</w:t>
            </w:r>
          </w:p>
        </w:tc>
      </w:tr>
    </w:tbl>
    <w:p w:rsidR="00962FD4" w:rsidRDefault="00962FD4" w:rsidP="00962FD4">
      <w:pPr>
        <w:pStyle w:val="BodyTextIndent3"/>
        <w:tabs>
          <w:tab w:val="clear" w:pos="720"/>
          <w:tab w:val="clear" w:pos="1440"/>
        </w:tabs>
        <w:spacing w:before="120" w:after="120"/>
        <w:ind w:left="720" w:firstLine="0"/>
      </w:pPr>
      <w:r>
        <w:t>The abnormal return for Executive Cheese in February 2007 was:</w:t>
      </w:r>
    </w:p>
    <w:p w:rsidR="00962FD4" w:rsidRDefault="00962FD4" w:rsidP="00962FD4">
      <w:pPr>
        <w:pStyle w:val="BodyTextIndent3"/>
        <w:tabs>
          <w:tab w:val="clear" w:pos="720"/>
          <w:tab w:val="clear" w:pos="1440"/>
        </w:tabs>
        <w:spacing w:after="120"/>
        <w:ind w:firstLine="0"/>
      </w:pPr>
      <w:r>
        <w:rPr>
          <w:rFonts w:cs="Arial"/>
        </w:rPr>
        <w:t>–2.1</w:t>
      </w:r>
      <w:r>
        <w:t xml:space="preserve"> – [</w:t>
      </w:r>
      <w:r>
        <w:rPr>
          <w:rFonts w:cs="Arial"/>
        </w:rPr>
        <w:t>0.803</w:t>
      </w:r>
      <w:r>
        <w:t xml:space="preserve"> + 0.956 </w:t>
      </w:r>
      <w:r>
        <w:sym w:font="Symbol" w:char="F0B4"/>
      </w:r>
      <w:r>
        <w:t xml:space="preserve"> (</w:t>
      </w:r>
      <w:r>
        <w:rPr>
          <w:rFonts w:cs="Arial"/>
        </w:rPr>
        <w:t>–7.7</w:t>
      </w:r>
      <w:r>
        <w:t xml:space="preserve">)] = </w:t>
      </w:r>
      <w:r>
        <w:rPr>
          <w:rFonts w:cs="Arial"/>
        </w:rPr>
        <w:t>4.31</w:t>
      </w:r>
      <w:r>
        <w:t>%</w:t>
      </w:r>
    </w:p>
    <w:p w:rsidR="00962FD4" w:rsidRDefault="00962FD4" w:rsidP="00962FD4">
      <w:pPr>
        <w:pStyle w:val="BodyTextIndent3"/>
        <w:tabs>
          <w:tab w:val="clear" w:pos="720"/>
          <w:tab w:val="clear" w:pos="1440"/>
        </w:tabs>
        <w:spacing w:after="120"/>
        <w:ind w:left="720" w:firstLine="0"/>
      </w:pPr>
      <w:r>
        <w:t>For Paddington Beer, the abnormal return was:</w:t>
      </w:r>
    </w:p>
    <w:p w:rsidR="00962FD4" w:rsidRDefault="00962FD4" w:rsidP="00962FD4">
      <w:pPr>
        <w:pStyle w:val="BodyTextIndent3"/>
        <w:tabs>
          <w:tab w:val="clear" w:pos="720"/>
          <w:tab w:val="clear" w:pos="1440"/>
        </w:tabs>
        <w:spacing w:after="120"/>
        <w:ind w:firstLine="0"/>
      </w:pPr>
      <w:r>
        <w:rPr>
          <w:rFonts w:cs="Arial"/>
        </w:rPr>
        <w:t>–9.4</w:t>
      </w:r>
      <w:r>
        <w:t xml:space="preserve"> – [-0.834 + 0.73 </w:t>
      </w:r>
      <w:r>
        <w:sym w:font="Symbol" w:char="F0B4"/>
      </w:r>
      <w:r>
        <w:t xml:space="preserve"> (</w:t>
      </w:r>
      <w:r>
        <w:rPr>
          <w:rFonts w:cs="Arial"/>
        </w:rPr>
        <w:t>–7.7</w:t>
      </w:r>
      <w:r>
        <w:t xml:space="preserve">)] = </w:t>
      </w:r>
      <w:r>
        <w:rPr>
          <w:rFonts w:cs="Arial"/>
        </w:rPr>
        <w:t>–2.95</w:t>
      </w:r>
      <w:r>
        <w:t>%</w:t>
      </w:r>
    </w:p>
    <w:p w:rsidR="00962FD4" w:rsidRDefault="00962FD4" w:rsidP="00962FD4">
      <w:pPr>
        <w:pStyle w:val="BodyTextIndent3"/>
        <w:tabs>
          <w:tab w:val="clear" w:pos="720"/>
          <w:tab w:val="clear" w:pos="1440"/>
        </w:tabs>
        <w:ind w:left="720" w:firstLine="0"/>
      </w:pPr>
      <w:r>
        <w:t xml:space="preserve">Thus, the average abnormal return of the two stocks during the month of the earnings announcement was </w:t>
      </w:r>
      <w:r>
        <w:rPr>
          <w:rFonts w:cs="Arial"/>
        </w:rPr>
        <w:t>–0.68%</w:t>
      </w:r>
      <w:r>
        <w:t>.</w:t>
      </w:r>
    </w:p>
    <w:p w:rsidR="00962FD4"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ind w:left="720" w:hanging="720"/>
      </w:pPr>
      <w:r>
        <w:t>19.</w:t>
      </w:r>
      <w:r>
        <w:tab/>
        <w:t xml:space="preserve">The market is most likely efficient.  The government of </w:t>
      </w:r>
      <w:smartTag w:uri="urn:schemas-microsoft-com:office:smarttags" w:element="place">
        <w:smartTag w:uri="urn:schemas-microsoft-com:office:smarttags" w:element="country-region">
          <w:r>
            <w:t>Kuwait</w:t>
          </w:r>
        </w:smartTag>
      </w:smartTag>
      <w:r>
        <w:t xml:space="preserve"> is not likely to have non-public information about the BP shares.  Goldman Sachs is providing an intermediary service for which they should be remunerated.  Stocks are bought by investors at (higher) ask prices and sold at (lower) bid prices.  The spread between the two ($0.11) is revenue for the broker.  In the </w:t>
      </w:r>
      <w:smartTag w:uri="urn:schemas-microsoft-com:office:smarttags" w:element="place">
        <w:smartTag w:uri="urn:schemas-microsoft-com:office:smarttags" w:element="country-region">
          <w:r>
            <w:t>U.S.</w:t>
          </w:r>
        </w:smartTag>
      </w:smartTag>
      <w:r>
        <w:t>, at that time, a bid-ask spread of 1/8 ($0.125) was not uncommon.  The ‘profit’ of $15 million reflects the size of the order more than any mispricing.</w:t>
      </w:r>
    </w:p>
    <w:p w:rsidR="00962FD4" w:rsidRDefault="00962FD4" w:rsidP="00962FD4">
      <w:pPr>
        <w:pStyle w:val="BodyTextIndent3"/>
        <w:tabs>
          <w:tab w:val="clear" w:pos="720"/>
          <w:tab w:val="clear" w:pos="1440"/>
        </w:tabs>
        <w:ind w:left="720" w:hanging="720"/>
      </w:pPr>
    </w:p>
    <w:p w:rsidR="00962FD4" w:rsidRDefault="00962FD4" w:rsidP="00962FD4">
      <w:pPr>
        <w:pStyle w:val="BodyTextIndent3"/>
        <w:tabs>
          <w:tab w:val="clear" w:pos="720"/>
          <w:tab w:val="clear" w:pos="1440"/>
        </w:tabs>
        <w:ind w:left="720" w:hanging="720"/>
      </w:pPr>
    </w:p>
    <w:p w:rsidR="00962FD4" w:rsidRDefault="00962FD4" w:rsidP="00962FD4">
      <w:pPr>
        <w:pStyle w:val="BodyTextIndent3"/>
        <w:tabs>
          <w:tab w:val="clear" w:pos="720"/>
          <w:tab w:val="clear" w:pos="1440"/>
        </w:tabs>
        <w:ind w:left="720" w:hanging="720"/>
      </w:pPr>
      <w:r>
        <w:t xml:space="preserve">20. </w:t>
      </w:r>
      <w:r>
        <w:tab/>
        <w:t>Any time there is a separation of ownership and control, it is possible that the resulting agency costs will lead to market distortions. Many people hire others (explicitly or implicitly) to manage their money, and these managers may not have the same incentives to push for the best price. Over large markets, we might expect many of these distortions to have less impact, but some imperfections may remain.</w:t>
      </w:r>
    </w:p>
    <w:p w:rsidR="00962FD4" w:rsidRDefault="00962FD4" w:rsidP="00962FD4">
      <w:pPr>
        <w:pStyle w:val="BodyTextIndent3"/>
        <w:tabs>
          <w:tab w:val="clear" w:pos="720"/>
          <w:tab w:val="clear" w:pos="1440"/>
        </w:tabs>
        <w:ind w:left="720" w:hanging="720"/>
      </w:pPr>
    </w:p>
    <w:p w:rsidR="00962FD4" w:rsidRDefault="00962FD4" w:rsidP="00962FD4">
      <w:pPr>
        <w:pStyle w:val="BodyTextIndent3"/>
        <w:tabs>
          <w:tab w:val="clear" w:pos="720"/>
          <w:tab w:val="clear" w:pos="1440"/>
        </w:tabs>
        <w:ind w:left="720" w:firstLine="0"/>
      </w:pPr>
      <w:r>
        <w:t xml:space="preserve">As described in the text, one example of this is mortgage securitization market. Because banks were paid a fee for packaging the securities and did not retain the risks of ownership, they may not have pushed for adequate underwriting. This may have lead to easy credit terms and a housing market bubble. </w:t>
      </w:r>
    </w:p>
    <w:p w:rsidR="00962FD4" w:rsidRDefault="00962FD4" w:rsidP="00962FD4">
      <w:pPr>
        <w:pStyle w:val="BodyTextIndent3"/>
        <w:tabs>
          <w:tab w:val="clear" w:pos="720"/>
          <w:tab w:val="clear" w:pos="1440"/>
        </w:tabs>
        <w:ind w:left="720" w:hanging="720"/>
      </w:pPr>
    </w:p>
    <w:p w:rsidR="00962FD4" w:rsidRDefault="00962FD4" w:rsidP="00962FD4">
      <w:pPr>
        <w:pStyle w:val="BodyTextIndent3"/>
        <w:tabs>
          <w:tab w:val="clear" w:pos="720"/>
          <w:tab w:val="clear" w:pos="1440"/>
        </w:tabs>
        <w:ind w:left="720" w:hanging="720"/>
      </w:pPr>
    </w:p>
    <w:p w:rsidR="00962FD4" w:rsidRDefault="00962FD4" w:rsidP="00962FD4">
      <w:pPr>
        <w:pStyle w:val="BodyTextIndent3"/>
        <w:tabs>
          <w:tab w:val="clear" w:pos="720"/>
          <w:tab w:val="clear" w:pos="1440"/>
        </w:tabs>
        <w:ind w:left="720" w:hanging="720"/>
      </w:pPr>
      <w:r>
        <w:t>21.</w:t>
      </w:r>
      <w:r>
        <w:tab/>
        <w:t>Opinion question; answers will vary. Some of the blame may indeed rest with borrowers who held overly-optimistic views of housing market appreciation and of their ability to repay mortgages. Similarly, purchasers of mortgage backed securities may have unwisely believed that these instruments offered an adequate return. Alternative explanations include inaccurate ratings, agency cost problems (where loan originators lacked incentives to underwrite the loans effectively, the purchase activity and implicit government backing of Fannie Mae and Freddie Mac, and other information asymmetry problems.</w:t>
      </w:r>
    </w:p>
    <w:p w:rsidR="00962FD4"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ind w:left="0" w:firstLine="0"/>
      </w:pPr>
      <w:r>
        <w:br w:type="page"/>
      </w:r>
      <w:r>
        <w:lastRenderedPageBreak/>
        <w:t>22.</w:t>
      </w:r>
      <w:r>
        <w:tab/>
      </w:r>
      <w:proofErr w:type="gramStart"/>
      <w:r>
        <w:t>a</w:t>
      </w:r>
      <w:proofErr w:type="gramEnd"/>
      <w:r>
        <w:t>.</w:t>
      </w:r>
      <w:r>
        <w:tab/>
        <w:t>The probability that mutual fund X achieved superior performance in any one year is 0.50.  The probability that mutual fund X achieved superior performance in each of the past ten years is:</w:t>
      </w:r>
    </w:p>
    <w:p w:rsidR="00962FD4" w:rsidRDefault="00962FD4" w:rsidP="00962FD4">
      <w:pPr>
        <w:pStyle w:val="BodyTextIndent3"/>
        <w:tabs>
          <w:tab w:val="clear" w:pos="720"/>
          <w:tab w:val="clear" w:pos="1440"/>
        </w:tabs>
        <w:spacing w:line="480" w:lineRule="auto"/>
        <w:ind w:left="2160" w:firstLine="0"/>
      </w:pPr>
      <w:r>
        <w:t>0.5</w:t>
      </w:r>
      <w:r>
        <w:rPr>
          <w:vertAlign w:val="superscript"/>
        </w:rPr>
        <w:t>10</w:t>
      </w:r>
      <w:r>
        <w:t xml:space="preserve"> = 0.00097656</w:t>
      </w:r>
    </w:p>
    <w:p w:rsidR="00962FD4" w:rsidRDefault="00962FD4" w:rsidP="00962FD4">
      <w:pPr>
        <w:pStyle w:val="BodyTextIndent3"/>
        <w:tabs>
          <w:tab w:val="clear" w:pos="720"/>
          <w:tab w:val="clear" w:pos="1440"/>
        </w:tabs>
        <w:spacing w:after="120"/>
        <w:ind w:hanging="720"/>
      </w:pPr>
      <w:r>
        <w:t>b.</w:t>
      </w:r>
      <w:r>
        <w:tab/>
        <w:t>The probability that, out of 10,000 mutual funds, none of them obtained ten successive years of superior performance is:</w:t>
      </w:r>
    </w:p>
    <w:p w:rsidR="00962FD4" w:rsidRDefault="00962FD4" w:rsidP="00962FD4">
      <w:pPr>
        <w:pStyle w:val="BodyTextIndent3"/>
        <w:tabs>
          <w:tab w:val="clear" w:pos="720"/>
          <w:tab w:val="clear" w:pos="1440"/>
        </w:tabs>
        <w:spacing w:after="120"/>
        <w:ind w:left="2160" w:firstLine="0"/>
      </w:pPr>
      <w:r>
        <w:t xml:space="preserve">(1 </w:t>
      </w:r>
      <w:r>
        <w:rPr>
          <w:rFonts w:cs="Arial"/>
        </w:rPr>
        <w:t>–</w:t>
      </w:r>
      <w:r>
        <w:t xml:space="preserve"> 0.00097656)</w:t>
      </w:r>
      <w:r>
        <w:rPr>
          <w:vertAlign w:val="superscript"/>
        </w:rPr>
        <w:t>10,000</w:t>
      </w:r>
      <w:r>
        <w:t xml:space="preserve"> = 0.00005712</w:t>
      </w:r>
    </w:p>
    <w:p w:rsidR="00962FD4" w:rsidRDefault="00962FD4" w:rsidP="00962FD4">
      <w:pPr>
        <w:pStyle w:val="BodyTextIndent3"/>
        <w:tabs>
          <w:tab w:val="clear" w:pos="720"/>
          <w:tab w:val="clear" w:pos="1440"/>
        </w:tabs>
        <w:spacing w:after="120"/>
        <w:ind w:firstLine="0"/>
      </w:pPr>
      <w:r>
        <w:t>Therefore, the probability that at least one of the 10,000 mutual funds obtained ten successive years of superior performance is:</w:t>
      </w:r>
    </w:p>
    <w:p w:rsidR="00962FD4" w:rsidRDefault="00962FD4" w:rsidP="00962FD4">
      <w:pPr>
        <w:pStyle w:val="BodyTextIndent3"/>
        <w:tabs>
          <w:tab w:val="clear" w:pos="720"/>
          <w:tab w:val="clear" w:pos="1440"/>
        </w:tabs>
        <w:ind w:left="2160" w:firstLine="0"/>
      </w:pPr>
      <w:r>
        <w:t xml:space="preserve">1 </w:t>
      </w:r>
      <w:r>
        <w:rPr>
          <w:rFonts w:cs="Arial"/>
        </w:rPr>
        <w:t>–</w:t>
      </w:r>
      <w:r>
        <w:t xml:space="preserve"> 0.00005712 = 0.99994288</w:t>
      </w:r>
    </w:p>
    <w:p w:rsidR="00962FD4" w:rsidRDefault="00962FD4" w:rsidP="00962FD4">
      <w:pPr>
        <w:pStyle w:val="BodyTextIndent3"/>
        <w:tabs>
          <w:tab w:val="clear" w:pos="720"/>
          <w:tab w:val="clear" w:pos="1440"/>
        </w:tabs>
        <w:ind w:left="0" w:firstLine="0"/>
      </w:pPr>
    </w:p>
    <w:p w:rsidR="00962FD4" w:rsidRPr="00D3044A" w:rsidRDefault="00962FD4" w:rsidP="00962FD4">
      <w:pPr>
        <w:pStyle w:val="BodyTextIndent3"/>
        <w:tabs>
          <w:tab w:val="clear" w:pos="720"/>
          <w:tab w:val="clear" w:pos="1440"/>
        </w:tabs>
        <w:ind w:left="0" w:firstLine="0"/>
      </w:pPr>
    </w:p>
    <w:p w:rsidR="00962FD4" w:rsidRDefault="00962FD4" w:rsidP="00962FD4">
      <w:pPr>
        <w:pStyle w:val="BodyTextIndent3"/>
        <w:tabs>
          <w:tab w:val="clear" w:pos="720"/>
          <w:tab w:val="clear" w:pos="1440"/>
        </w:tabs>
        <w:ind w:left="720" w:hanging="720"/>
      </w:pPr>
      <w:r>
        <w:t>23.</w:t>
      </w:r>
      <w:r>
        <w:tab/>
        <w:t>It is difficult to define ex ante rules for identifying bubbles where prices differ from some measure of intrinsic value. Research in this area focuses on excessive liquidity, inflationary pressures, a rigorous analysis of “underlying fundamentals,” and other factors that may cause prices to exceed intrinsic value (whatever that means). But since we expect prices to move in a random walk—and since this random walk might sometimes move rapidly upwards—the process of identifying bubbles is vexing.</w:t>
      </w:r>
    </w:p>
    <w:p w:rsidR="00BD3BC2" w:rsidRDefault="00BD3BC2"/>
    <w:sectPr w:rsidR="00BD3BC2" w:rsidSect="00962FD4">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B6" w:rsidRDefault="005806B6" w:rsidP="005861EC">
      <w:r>
        <w:separator/>
      </w:r>
    </w:p>
  </w:endnote>
  <w:endnote w:type="continuationSeparator" w:id="0">
    <w:p w:rsidR="005806B6" w:rsidRDefault="005806B6" w:rsidP="0058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Italic">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B6" w:rsidRDefault="00157A36" w:rsidP="00AE1096">
    <w:pPr>
      <w:pStyle w:val="Footer"/>
      <w:framePr w:wrap="around" w:vAnchor="text" w:hAnchor="margin" w:xAlign="center" w:y="1"/>
      <w:rPr>
        <w:rStyle w:val="PageNumber"/>
      </w:rPr>
    </w:pPr>
    <w:r>
      <w:rPr>
        <w:rStyle w:val="PageNumber"/>
      </w:rPr>
      <w:fldChar w:fldCharType="begin"/>
    </w:r>
    <w:r w:rsidR="005806B6">
      <w:rPr>
        <w:rStyle w:val="PageNumber"/>
      </w:rPr>
      <w:instrText xml:space="preserve">PAGE  </w:instrText>
    </w:r>
    <w:r>
      <w:rPr>
        <w:rStyle w:val="PageNumber"/>
      </w:rPr>
      <w:fldChar w:fldCharType="end"/>
    </w:r>
  </w:p>
  <w:p w:rsidR="005806B6" w:rsidRDefault="005806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B6" w:rsidRPr="006C00D9" w:rsidRDefault="005806B6" w:rsidP="00AE1096">
    <w:pPr>
      <w:pStyle w:val="Footer"/>
      <w:framePr w:w="505" w:wrap="around" w:vAnchor="text" w:hAnchor="page" w:x="5662" w:y="7"/>
      <w:jc w:val="center"/>
      <w:rPr>
        <w:rStyle w:val="PageNumber"/>
        <w:rFonts w:ascii="Times New Roman" w:hAnsi="Times New Roman"/>
        <w:sz w:val="20"/>
      </w:rPr>
    </w:pPr>
    <w:r w:rsidRPr="006C00D9">
      <w:rPr>
        <w:rStyle w:val="PageNumber"/>
        <w:rFonts w:ascii="Times New Roman" w:hAnsi="Times New Roman"/>
        <w:sz w:val="20"/>
      </w:rPr>
      <w:t>11-</w:t>
    </w:r>
    <w:r w:rsidR="00157A36" w:rsidRPr="006C00D9">
      <w:rPr>
        <w:rStyle w:val="PageNumber"/>
        <w:rFonts w:ascii="Times New Roman" w:hAnsi="Times New Roman"/>
        <w:sz w:val="20"/>
      </w:rPr>
      <w:fldChar w:fldCharType="begin"/>
    </w:r>
    <w:r w:rsidRPr="006C00D9">
      <w:rPr>
        <w:rStyle w:val="PageNumber"/>
        <w:rFonts w:ascii="Times New Roman" w:hAnsi="Times New Roman"/>
        <w:sz w:val="20"/>
      </w:rPr>
      <w:instrText xml:space="preserve">PAGE  </w:instrText>
    </w:r>
    <w:r w:rsidR="00157A36" w:rsidRPr="006C00D9">
      <w:rPr>
        <w:rStyle w:val="PageNumber"/>
        <w:rFonts w:ascii="Times New Roman" w:hAnsi="Times New Roman"/>
        <w:sz w:val="20"/>
      </w:rPr>
      <w:fldChar w:fldCharType="separate"/>
    </w:r>
    <w:r w:rsidR="00712B85">
      <w:rPr>
        <w:rStyle w:val="PageNumber"/>
        <w:rFonts w:ascii="Times New Roman" w:hAnsi="Times New Roman"/>
        <w:noProof/>
        <w:sz w:val="20"/>
      </w:rPr>
      <w:t>8</w:t>
    </w:r>
    <w:r w:rsidR="00157A36" w:rsidRPr="006C00D9">
      <w:rPr>
        <w:rStyle w:val="PageNumber"/>
        <w:rFonts w:ascii="Times New Roman" w:hAnsi="Times New Roman"/>
        <w:sz w:val="20"/>
      </w:rPr>
      <w:fldChar w:fldCharType="end"/>
    </w:r>
  </w:p>
  <w:p w:rsidR="005806B6" w:rsidRPr="006C00D9" w:rsidRDefault="005806B6" w:rsidP="00AE1096">
    <w:pPr>
      <w:pStyle w:val="Footer"/>
      <w:jc w:val="cen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B6" w:rsidRDefault="005806B6" w:rsidP="005861EC">
      <w:r>
        <w:separator/>
      </w:r>
    </w:p>
  </w:footnote>
  <w:footnote w:type="continuationSeparator" w:id="0">
    <w:p w:rsidR="005806B6" w:rsidRDefault="005806B6" w:rsidP="00586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B6" w:rsidRPr="006C00D9" w:rsidRDefault="005806B6" w:rsidP="00AE1096">
    <w:pPr>
      <w:pStyle w:val="Heading2"/>
      <w:rPr>
        <w:rFonts w:ascii="Times New Roman" w:hAnsi="Times New Roman"/>
        <w:i w:val="0"/>
        <w:sz w:val="20"/>
      </w:rPr>
    </w:pPr>
    <w:r w:rsidRPr="006C00D9">
      <w:rPr>
        <w:rFonts w:ascii="Times New Roman" w:hAnsi="Times New Roman"/>
        <w:i w:val="0"/>
        <w:sz w:val="20"/>
      </w:rPr>
      <w:t>Chapter 11 - Efficient Markets and Behavioral Finance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5A4B"/>
    <w:multiLevelType w:val="hybridMultilevel"/>
    <w:tmpl w:val="DAC2C17C"/>
    <w:lvl w:ilvl="0" w:tplc="9EA0D520">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59F2CC1"/>
    <w:multiLevelType w:val="hybridMultilevel"/>
    <w:tmpl w:val="D2CA40A4"/>
    <w:lvl w:ilvl="0" w:tplc="2632C56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1570A28"/>
    <w:multiLevelType w:val="hybridMultilevel"/>
    <w:tmpl w:val="5B6EEBCC"/>
    <w:lvl w:ilvl="0" w:tplc="741A8470">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7C37AAB"/>
    <w:multiLevelType w:val="singleLevel"/>
    <w:tmpl w:val="7F74E5F8"/>
    <w:lvl w:ilvl="0">
      <w:start w:val="4"/>
      <w:numFmt w:val="lowerLetter"/>
      <w:lvlText w:val="(%1)"/>
      <w:lvlJc w:val="left"/>
      <w:pPr>
        <w:tabs>
          <w:tab w:val="num" w:pos="1980"/>
        </w:tabs>
        <w:ind w:left="1980" w:hanging="360"/>
      </w:pPr>
      <w:rPr>
        <w:rFonts w:hint="default"/>
      </w:rPr>
    </w:lvl>
  </w:abstractNum>
  <w:abstractNum w:abstractNumId="4">
    <w:nsid w:val="6D0D5F2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2FD4"/>
    <w:rsid w:val="0001223E"/>
    <w:rsid w:val="00041870"/>
    <w:rsid w:val="00054A8B"/>
    <w:rsid w:val="00157A36"/>
    <w:rsid w:val="00426D9B"/>
    <w:rsid w:val="004F6A47"/>
    <w:rsid w:val="00563A18"/>
    <w:rsid w:val="005806B6"/>
    <w:rsid w:val="005861EC"/>
    <w:rsid w:val="006E08FC"/>
    <w:rsid w:val="00712B85"/>
    <w:rsid w:val="00731393"/>
    <w:rsid w:val="007F66C2"/>
    <w:rsid w:val="00960E5E"/>
    <w:rsid w:val="00962FD4"/>
    <w:rsid w:val="009C00A6"/>
    <w:rsid w:val="009F1B78"/>
    <w:rsid w:val="00A54456"/>
    <w:rsid w:val="00AE1096"/>
    <w:rsid w:val="00BD3BC2"/>
    <w:rsid w:val="00C401FA"/>
    <w:rsid w:val="00C72282"/>
    <w:rsid w:val="00CC19A8"/>
    <w:rsid w:val="00D6601B"/>
    <w:rsid w:val="00D95067"/>
    <w:rsid w:val="00E6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FD4"/>
    <w:rPr>
      <w:rFonts w:ascii="Arial" w:hAnsi="Arial"/>
      <w:sz w:val="24"/>
    </w:rPr>
  </w:style>
  <w:style w:type="paragraph" w:styleId="Heading2">
    <w:name w:val="heading 2"/>
    <w:basedOn w:val="Normal"/>
    <w:next w:val="Normal"/>
    <w:link w:val="Heading2Char"/>
    <w:qFormat/>
    <w:rsid w:val="00962FD4"/>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FD4"/>
    <w:rPr>
      <w:rFonts w:ascii="Arial" w:hAnsi="Arial"/>
      <w:i/>
      <w:sz w:val="24"/>
    </w:rPr>
  </w:style>
  <w:style w:type="paragraph" w:styleId="Footer">
    <w:name w:val="footer"/>
    <w:basedOn w:val="Normal"/>
    <w:link w:val="FooterChar"/>
    <w:rsid w:val="00962FD4"/>
    <w:pPr>
      <w:tabs>
        <w:tab w:val="center" w:pos="4320"/>
        <w:tab w:val="right" w:pos="8640"/>
      </w:tabs>
    </w:pPr>
  </w:style>
  <w:style w:type="character" w:customStyle="1" w:styleId="FooterChar">
    <w:name w:val="Footer Char"/>
    <w:basedOn w:val="DefaultParagraphFont"/>
    <w:link w:val="Footer"/>
    <w:rsid w:val="00962FD4"/>
    <w:rPr>
      <w:rFonts w:ascii="Arial" w:hAnsi="Arial"/>
      <w:sz w:val="24"/>
    </w:rPr>
  </w:style>
  <w:style w:type="character" w:styleId="PageNumber">
    <w:name w:val="page number"/>
    <w:basedOn w:val="DefaultParagraphFont"/>
    <w:rsid w:val="00962FD4"/>
  </w:style>
  <w:style w:type="paragraph" w:styleId="BodyTextIndent3">
    <w:name w:val="Body Text Indent 3"/>
    <w:basedOn w:val="Normal"/>
    <w:link w:val="BodyTextIndent3Char"/>
    <w:rsid w:val="00962FD4"/>
    <w:pPr>
      <w:tabs>
        <w:tab w:val="left" w:pos="720"/>
        <w:tab w:val="left" w:pos="1440"/>
      </w:tabs>
      <w:ind w:left="1440" w:hanging="1440"/>
    </w:pPr>
  </w:style>
  <w:style w:type="character" w:customStyle="1" w:styleId="BodyTextIndent3Char">
    <w:name w:val="Body Text Indent 3 Char"/>
    <w:basedOn w:val="DefaultParagraphFont"/>
    <w:link w:val="BodyTextIndent3"/>
    <w:rsid w:val="00962FD4"/>
    <w:rPr>
      <w:rFonts w:ascii="Arial" w:hAnsi="Arial"/>
      <w:sz w:val="24"/>
    </w:rPr>
  </w:style>
  <w:style w:type="paragraph" w:customStyle="1" w:styleId="eaplnm">
    <w:name w:val="eap_ln.m"/>
    <w:basedOn w:val="Normal"/>
    <w:rsid w:val="00962FD4"/>
    <w:pPr>
      <w:widowControl w:val="0"/>
      <w:tabs>
        <w:tab w:val="left" w:pos="360"/>
        <w:tab w:val="left" w:pos="600"/>
      </w:tabs>
      <w:autoSpaceDE w:val="0"/>
      <w:autoSpaceDN w:val="0"/>
      <w:adjustRightInd w:val="0"/>
      <w:spacing w:before="60" w:line="220" w:lineRule="atLeast"/>
      <w:ind w:left="360" w:hanging="360"/>
      <w:textAlignment w:val="center"/>
    </w:pPr>
    <w:rPr>
      <w:rFonts w:ascii="Palatino-Roman" w:hAnsi="Palatino-Roman"/>
      <w:color w:val="000000"/>
      <w:sz w:val="18"/>
      <w:szCs w:val="18"/>
    </w:rPr>
  </w:style>
  <w:style w:type="paragraph" w:customStyle="1" w:styleId="eapla">
    <w:name w:val="eap_la"/>
    <w:basedOn w:val="Normal"/>
    <w:rsid w:val="00962FD4"/>
    <w:pPr>
      <w:widowControl w:val="0"/>
      <w:tabs>
        <w:tab w:val="right" w:pos="515"/>
        <w:tab w:val="left" w:pos="600"/>
      </w:tabs>
      <w:autoSpaceDE w:val="0"/>
      <w:autoSpaceDN w:val="0"/>
      <w:adjustRightInd w:val="0"/>
      <w:spacing w:line="220" w:lineRule="atLeast"/>
      <w:ind w:left="600" w:hanging="600"/>
      <w:textAlignment w:val="center"/>
    </w:pPr>
    <w:rPr>
      <w:rFonts w:ascii="Palatino-Roman" w:hAnsi="Palatino-Roman"/>
      <w:color w:val="000000"/>
      <w:sz w:val="18"/>
      <w:szCs w:val="18"/>
    </w:rPr>
  </w:style>
  <w:style w:type="character" w:customStyle="1" w:styleId="bold">
    <w:name w:val="bold"/>
    <w:rsid w:val="00962FD4"/>
    <w:rPr>
      <w:b/>
      <w:bCs/>
      <w:color w:val="000000"/>
      <w:w w:val="100"/>
    </w:rPr>
  </w:style>
  <w:style w:type="character" w:customStyle="1" w:styleId="italic">
    <w:name w:val="italic"/>
    <w:rsid w:val="00962FD4"/>
    <w:rPr>
      <w:i/>
      <w:iCs/>
      <w:color w:val="000000"/>
      <w:w w:val="100"/>
    </w:rPr>
  </w:style>
  <w:style w:type="paragraph" w:customStyle="1" w:styleId="eaplnf">
    <w:name w:val="eap_ln.f"/>
    <w:basedOn w:val="Normal"/>
    <w:rsid w:val="00962FD4"/>
    <w:pPr>
      <w:widowControl w:val="0"/>
      <w:tabs>
        <w:tab w:val="left" w:pos="360"/>
        <w:tab w:val="left" w:pos="600"/>
      </w:tabs>
      <w:autoSpaceDE w:val="0"/>
      <w:autoSpaceDN w:val="0"/>
      <w:adjustRightInd w:val="0"/>
      <w:spacing w:before="140" w:line="220" w:lineRule="atLeast"/>
      <w:ind w:left="360" w:hanging="360"/>
      <w:textAlignment w:val="center"/>
    </w:pPr>
    <w:rPr>
      <w:rFonts w:ascii="Palatino-Roman" w:hAnsi="Palatino-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2296</Words>
  <Characters>11861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c:creator>
  <cp:keywords/>
  <dc:description/>
  <cp:lastModifiedBy>Casey Computer Center</cp:lastModifiedBy>
  <cp:revision>9</cp:revision>
  <dcterms:created xsi:type="dcterms:W3CDTF">2011-01-08T17:16:00Z</dcterms:created>
  <dcterms:modified xsi:type="dcterms:W3CDTF">2012-11-27T18:46:00Z</dcterms:modified>
</cp:coreProperties>
</file>